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28-04-2021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Abhijith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FB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ihv636" w:id="34"/>
      <w:bookmarkEnd w:id="34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hmsyys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3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grqrue" w:id="38"/>
      <w:bookmarkEnd w:id="38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f1mdlm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6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u6wntf" w:id="43"/>
      <w:bookmarkEnd w:id="43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28h4qwu" w:id="46"/>
      <w:bookmarkEnd w:id="46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83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111kx3o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3l18frh" w:id="53"/>
      <w:bookmarkEnd w:id="5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06ipza" w:id="54"/>
      <w:bookmarkEnd w:id="5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2zbgiuw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egqt2p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1C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1E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add_cart</w:t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dlolyb" w:id="59"/>
      <w:bookmarkEnd w:id="5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sqyw64" w:id="60"/>
      <w:bookmarkEnd w:id="6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1F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cqmetx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1rvwp1q" w:id="62"/>
      <w:bookmarkEnd w:id="6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bvk7pj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2r0uhxc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1664s55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1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25b2l0r" w:id="67"/>
      <w:bookmarkEnd w:id="6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kgcv8k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34g0dwd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jlao46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4D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4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5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xvir7l" w:id="73"/>
      <w:bookmarkEnd w:id="7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7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1x0gk37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8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