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92FEC" w14:textId="57E610EB" w:rsidR="00D728CD" w:rsidRDefault="00D728CD">
      <w:pPr>
        <w:rPr>
          <w:rFonts w:ascii="Salzburg Serial" w:hAnsi="Salzburg Serial"/>
          <w:lang w:val="en-US"/>
        </w:rPr>
      </w:pPr>
      <w:r>
        <w:rPr>
          <w:rFonts w:ascii="Salzburg Serial" w:hAnsi="Salzburg Serial"/>
          <w:noProof/>
          <w:lang w:val="en-US"/>
        </w:rPr>
        <w:drawing>
          <wp:anchor distT="0" distB="0" distL="114300" distR="114300" simplePos="0" relativeHeight="251658240" behindDoc="1" locked="0" layoutInCell="1" allowOverlap="1" wp14:anchorId="5A443C79" wp14:editId="71BBC035">
            <wp:simplePos x="0" y="0"/>
            <wp:positionH relativeFrom="column">
              <wp:posOffset>4600575</wp:posOffset>
            </wp:positionH>
            <wp:positionV relativeFrom="paragraph">
              <wp:posOffset>11430</wp:posOffset>
            </wp:positionV>
            <wp:extent cx="1374775" cy="1028700"/>
            <wp:effectExtent l="0" t="0" r="0" b="0"/>
            <wp:wrapTight wrapText="bothSides">
              <wp:wrapPolygon edited="0">
                <wp:start x="8081" y="0"/>
                <wp:lineTo x="6585" y="1600"/>
                <wp:lineTo x="6585" y="4800"/>
                <wp:lineTo x="7483" y="6800"/>
                <wp:lineTo x="1796" y="10400"/>
                <wp:lineTo x="299" y="12000"/>
                <wp:lineTo x="299" y="16000"/>
                <wp:lineTo x="2095" y="19600"/>
                <wp:lineTo x="3592" y="19600"/>
                <wp:lineTo x="3292" y="21200"/>
                <wp:lineTo x="18258" y="21200"/>
                <wp:lineTo x="18557" y="19600"/>
                <wp:lineTo x="19754" y="19600"/>
                <wp:lineTo x="21251" y="16000"/>
                <wp:lineTo x="21251" y="13200"/>
                <wp:lineTo x="17659" y="9600"/>
                <wp:lineTo x="14067" y="6800"/>
                <wp:lineTo x="15564" y="4800"/>
                <wp:lineTo x="15265" y="2000"/>
                <wp:lineTo x="13469" y="0"/>
                <wp:lineTo x="8081" y="0"/>
              </wp:wrapPolygon>
            </wp:wrapTight>
            <wp:docPr id="1223645957"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45957" name="Picture 1" descr="A logo with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74775" cy="1028700"/>
                    </a:xfrm>
                    <a:prstGeom prst="rect">
                      <a:avLst/>
                    </a:prstGeom>
                  </pic:spPr>
                </pic:pic>
              </a:graphicData>
            </a:graphic>
            <wp14:sizeRelH relativeFrom="margin">
              <wp14:pctWidth>0</wp14:pctWidth>
            </wp14:sizeRelH>
            <wp14:sizeRelV relativeFrom="margin">
              <wp14:pctHeight>0</wp14:pctHeight>
            </wp14:sizeRelV>
          </wp:anchor>
        </w:drawing>
      </w:r>
    </w:p>
    <w:p w14:paraId="763A3D9A" w14:textId="345AC499" w:rsidR="00D728CD" w:rsidRDefault="00D728CD">
      <w:pPr>
        <w:rPr>
          <w:rFonts w:ascii="Salzburg Serial" w:hAnsi="Salzburg Serial"/>
          <w:lang w:val="en-US"/>
        </w:rPr>
      </w:pPr>
    </w:p>
    <w:p w14:paraId="2605C248" w14:textId="4414E729" w:rsidR="00D728CD" w:rsidRDefault="00D728CD">
      <w:pPr>
        <w:rPr>
          <w:rFonts w:ascii="Salzburg Serial" w:hAnsi="Salzburg Serial"/>
          <w:lang w:val="en-US"/>
        </w:rPr>
      </w:pPr>
    </w:p>
    <w:p w14:paraId="4939E52B" w14:textId="18CAA2E3" w:rsidR="00D728CD" w:rsidRPr="00014D12" w:rsidRDefault="00D728CD">
      <w:pPr>
        <w:rPr>
          <w:rFonts w:ascii="Salzburg Serial" w:hAnsi="Salzburg Serial"/>
          <w:sz w:val="20"/>
          <w:szCs w:val="20"/>
          <w:lang w:val="en-US"/>
        </w:rPr>
      </w:pPr>
    </w:p>
    <w:p w14:paraId="25FB2B73" w14:textId="0ED547E5" w:rsidR="00CA70F2" w:rsidRPr="00014D12" w:rsidRDefault="00014D12">
      <w:pPr>
        <w:rPr>
          <w:rFonts w:ascii="Salzburg Serial" w:hAnsi="Salzburg Serial"/>
          <w:sz w:val="20"/>
          <w:szCs w:val="20"/>
          <w:lang w:val="en-US"/>
        </w:rPr>
      </w:pPr>
      <w:r w:rsidRPr="00014D12">
        <w:rPr>
          <w:rFonts w:ascii="Salzburg Serial" w:hAnsi="Salzburg Serial"/>
          <w:sz w:val="20"/>
          <w:szCs w:val="20"/>
          <w:lang w:val="en-US"/>
        </w:rPr>
        <w:t>Date [</w:t>
      </w:r>
      <w:r w:rsidR="00CA70F2" w:rsidRPr="00014D12">
        <w:rPr>
          <w:rFonts w:ascii="Salzburg Serial" w:hAnsi="Salzburg Serial"/>
          <w:sz w:val="20"/>
          <w:szCs w:val="20"/>
          <w:lang w:val="en-US"/>
        </w:rPr>
        <w:t xml:space="preserve">xx xxx </w:t>
      </w:r>
      <w:proofErr w:type="spellStart"/>
      <w:r w:rsidR="00CA70F2" w:rsidRPr="00014D12">
        <w:rPr>
          <w:rFonts w:ascii="Salzburg Serial" w:hAnsi="Salzburg Serial"/>
          <w:sz w:val="20"/>
          <w:szCs w:val="20"/>
          <w:lang w:val="en-US"/>
        </w:rPr>
        <w:t>xxxx</w:t>
      </w:r>
      <w:proofErr w:type="spellEnd"/>
      <w:r w:rsidR="00CA70F2" w:rsidRPr="00014D12">
        <w:rPr>
          <w:rFonts w:ascii="Salzburg Serial" w:hAnsi="Salzburg Serial"/>
          <w:sz w:val="20"/>
          <w:szCs w:val="20"/>
          <w:lang w:val="en-US"/>
        </w:rPr>
        <w:t>]</w:t>
      </w:r>
    </w:p>
    <w:p w14:paraId="572A27F4" w14:textId="77777777" w:rsidR="00CA70F2" w:rsidRPr="00014D12" w:rsidRDefault="00CA70F2">
      <w:pPr>
        <w:rPr>
          <w:rFonts w:ascii="Salzburg Serial" w:hAnsi="Salzburg Serial"/>
          <w:sz w:val="20"/>
          <w:szCs w:val="20"/>
          <w:lang w:val="en-US"/>
        </w:rPr>
      </w:pPr>
    </w:p>
    <w:p w14:paraId="7B3F0F81" w14:textId="77777777" w:rsidR="00CA70F2" w:rsidRPr="00014D12" w:rsidRDefault="00CA70F2">
      <w:pPr>
        <w:rPr>
          <w:rFonts w:ascii="Salzburg Serial" w:hAnsi="Salzburg Serial"/>
          <w:sz w:val="20"/>
          <w:szCs w:val="20"/>
          <w:lang w:val="en-US"/>
        </w:rPr>
      </w:pPr>
    </w:p>
    <w:p w14:paraId="46F37B0F" w14:textId="7E551341" w:rsidR="00CA70F2" w:rsidRPr="00014D12" w:rsidRDefault="00CA70F2">
      <w:pPr>
        <w:rPr>
          <w:rFonts w:ascii="Salzburg Serial" w:hAnsi="Salzburg Serial"/>
          <w:sz w:val="20"/>
          <w:szCs w:val="20"/>
          <w:lang w:val="en-US"/>
        </w:rPr>
      </w:pPr>
      <w:r w:rsidRPr="00014D12">
        <w:rPr>
          <w:rFonts w:ascii="Salzburg Serial" w:hAnsi="Salzburg Serial"/>
          <w:sz w:val="20"/>
          <w:szCs w:val="20"/>
          <w:lang w:val="en-US"/>
        </w:rPr>
        <w:t xml:space="preserve">Dear </w:t>
      </w:r>
      <w:r w:rsidR="00B667BF" w:rsidRPr="00014D12">
        <w:rPr>
          <w:rFonts w:ascii="Salzburg Serial" w:hAnsi="Salzburg Serial"/>
          <w:sz w:val="20"/>
          <w:szCs w:val="20"/>
          <w:lang w:val="en-US"/>
        </w:rPr>
        <w:t>[Client},</w:t>
      </w:r>
      <w:r w:rsidRPr="00014D12">
        <w:rPr>
          <w:rFonts w:ascii="Salzburg Serial" w:hAnsi="Salzburg Serial"/>
          <w:sz w:val="20"/>
          <w:szCs w:val="20"/>
          <w:lang w:val="en-US"/>
        </w:rPr>
        <w:br/>
      </w:r>
    </w:p>
    <w:p w14:paraId="74E0BE0F" w14:textId="61354A63" w:rsidR="00CA70F2" w:rsidRPr="00B667BF" w:rsidRDefault="00CA70F2">
      <w:pPr>
        <w:rPr>
          <w:rFonts w:ascii="Salzburg Serial" w:hAnsi="Salzburg Serial"/>
          <w:sz w:val="20"/>
          <w:szCs w:val="20"/>
          <w:lang w:val="en-US"/>
        </w:rPr>
      </w:pPr>
      <w:r w:rsidRPr="00B667BF">
        <w:rPr>
          <w:rFonts w:ascii="Salzburg Serial" w:hAnsi="Salzburg Serial"/>
          <w:sz w:val="20"/>
          <w:szCs w:val="20"/>
          <w:lang w:val="en-US"/>
        </w:rPr>
        <w:t>Re: ATO Payment Plan arrangement</w:t>
      </w:r>
    </w:p>
    <w:p w14:paraId="77A4528A" w14:textId="48723810" w:rsidR="00CA70F2" w:rsidRPr="00B667BF" w:rsidRDefault="00CA70F2">
      <w:pPr>
        <w:rPr>
          <w:rFonts w:ascii="Salzburg Serial" w:hAnsi="Salzburg Serial"/>
          <w:sz w:val="20"/>
          <w:szCs w:val="20"/>
          <w:lang w:val="en-US"/>
        </w:rPr>
      </w:pPr>
      <w:r w:rsidRPr="00B667BF">
        <w:rPr>
          <w:rFonts w:ascii="Salzburg Serial" w:hAnsi="Salzburg Serial"/>
          <w:sz w:val="20"/>
          <w:szCs w:val="20"/>
          <w:lang w:val="en-US"/>
        </w:rPr>
        <w:t>As per our telephone conversation we confirm that you wish to enter a payment arrangement with the ATO to clear your outstanding debt</w:t>
      </w:r>
      <w:r w:rsidR="00014D12">
        <w:rPr>
          <w:rFonts w:ascii="Salzburg Serial" w:hAnsi="Salzburg Serial"/>
          <w:sz w:val="20"/>
          <w:szCs w:val="20"/>
          <w:lang w:val="en-US"/>
        </w:rPr>
        <w:t xml:space="preserve"> listed:</w:t>
      </w:r>
    </w:p>
    <w:p w14:paraId="2C6CB6E2" w14:textId="481DDE65" w:rsidR="00483664" w:rsidRPr="00014D12" w:rsidRDefault="001546A0" w:rsidP="00014D12">
      <w:pPr>
        <w:rPr>
          <w:rFonts w:ascii="Salzburg Serial" w:hAnsi="Salzburg Serial"/>
          <w:sz w:val="20"/>
          <w:szCs w:val="20"/>
          <w:lang w:val="en-US"/>
        </w:rPr>
      </w:pPr>
      <w:r w:rsidRPr="00B667BF">
        <w:rPr>
          <w:rFonts w:ascii="Salzburg Serial" w:hAnsi="Salzburg Serial"/>
          <w:sz w:val="20"/>
          <w:szCs w:val="20"/>
          <w:lang w:val="en-US"/>
        </w:rPr>
        <w:t>Please note the ATO will charge a nominal interest charge of 11% which will be included in your monthly payment.</w:t>
      </w:r>
    </w:p>
    <w:tbl>
      <w:tblPr>
        <w:tblStyle w:val="TableGrid"/>
        <w:tblW w:w="10207" w:type="dxa"/>
        <w:tblInd w:w="-147" w:type="dxa"/>
        <w:tblLook w:val="04A0" w:firstRow="1" w:lastRow="0" w:firstColumn="1" w:lastColumn="0" w:noHBand="0" w:noVBand="1"/>
      </w:tblPr>
      <w:tblGrid>
        <w:gridCol w:w="2720"/>
        <w:gridCol w:w="1901"/>
        <w:gridCol w:w="1333"/>
        <w:gridCol w:w="1504"/>
        <w:gridCol w:w="1331"/>
        <w:gridCol w:w="1418"/>
      </w:tblGrid>
      <w:tr w:rsidR="00D728CD" w:rsidRPr="00483664" w14:paraId="235991A3" w14:textId="77777777" w:rsidTr="00D728CD">
        <w:trPr>
          <w:trHeight w:val="299"/>
        </w:trPr>
        <w:tc>
          <w:tcPr>
            <w:tcW w:w="2720" w:type="dxa"/>
            <w:vMerge w:val="restart"/>
            <w:shd w:val="clear" w:color="auto" w:fill="F2F2F2" w:themeFill="background1" w:themeFillShade="F2"/>
            <w:vAlign w:val="center"/>
          </w:tcPr>
          <w:p w14:paraId="16366131" w14:textId="3CC1140F" w:rsidR="00D728CD" w:rsidRPr="00D728CD" w:rsidRDefault="00D728CD" w:rsidP="00D728CD">
            <w:pPr>
              <w:jc w:val="center"/>
              <w:rPr>
                <w:rFonts w:ascii="Salzburg Serial" w:hAnsi="Salzburg Serial"/>
                <w:sz w:val="22"/>
                <w:szCs w:val="22"/>
                <w:lang w:val="en-US"/>
              </w:rPr>
            </w:pPr>
            <w:r w:rsidRPr="00D728CD">
              <w:rPr>
                <w:rFonts w:ascii="Salzburg Serial" w:hAnsi="Salzburg Serial"/>
                <w:sz w:val="22"/>
                <w:szCs w:val="22"/>
                <w:lang w:val="en-US"/>
              </w:rPr>
              <w:t>Entity Name</w:t>
            </w:r>
          </w:p>
        </w:tc>
        <w:tc>
          <w:tcPr>
            <w:tcW w:w="1901" w:type="dxa"/>
            <w:vMerge w:val="restart"/>
            <w:shd w:val="clear" w:color="auto" w:fill="F2F2F2" w:themeFill="background1" w:themeFillShade="F2"/>
            <w:vAlign w:val="center"/>
          </w:tcPr>
          <w:p w14:paraId="3F3B6007" w14:textId="276AB173" w:rsidR="00D728CD" w:rsidRPr="00D728CD" w:rsidRDefault="00D728CD" w:rsidP="00D728CD">
            <w:pPr>
              <w:jc w:val="center"/>
              <w:rPr>
                <w:rFonts w:ascii="Salzburg Serial" w:hAnsi="Salzburg Serial"/>
                <w:sz w:val="22"/>
                <w:szCs w:val="22"/>
                <w:lang w:val="en-US"/>
              </w:rPr>
            </w:pPr>
            <w:r w:rsidRPr="00D728CD">
              <w:rPr>
                <w:rFonts w:ascii="Salzburg Serial" w:hAnsi="Salzburg Serial"/>
                <w:sz w:val="22"/>
                <w:szCs w:val="22"/>
                <w:lang w:val="en-US"/>
              </w:rPr>
              <w:t>ABN</w:t>
            </w:r>
          </w:p>
        </w:tc>
        <w:tc>
          <w:tcPr>
            <w:tcW w:w="1333" w:type="dxa"/>
            <w:vMerge w:val="restart"/>
            <w:shd w:val="clear" w:color="auto" w:fill="F2F2F2" w:themeFill="background1" w:themeFillShade="F2"/>
            <w:vAlign w:val="center"/>
          </w:tcPr>
          <w:p w14:paraId="63DFD477" w14:textId="2EFDED7B" w:rsidR="00D728CD" w:rsidRPr="00B667BF" w:rsidRDefault="00D728CD" w:rsidP="00866B68">
            <w:pPr>
              <w:jc w:val="center"/>
              <w:rPr>
                <w:rFonts w:ascii="Salzburg Serial" w:hAnsi="Salzburg Serial"/>
                <w:sz w:val="20"/>
                <w:szCs w:val="20"/>
                <w:lang w:val="en-US"/>
              </w:rPr>
            </w:pPr>
            <w:r w:rsidRPr="00B667BF">
              <w:rPr>
                <w:rFonts w:ascii="Salzburg Serial" w:hAnsi="Salzburg Serial"/>
                <w:sz w:val="20"/>
                <w:szCs w:val="20"/>
                <w:lang w:val="en-US"/>
              </w:rPr>
              <w:t>Activity Acct Debt</w:t>
            </w:r>
          </w:p>
        </w:tc>
        <w:tc>
          <w:tcPr>
            <w:tcW w:w="1504" w:type="dxa"/>
            <w:vMerge w:val="restart"/>
            <w:shd w:val="clear" w:color="auto" w:fill="F2F2F2" w:themeFill="background1" w:themeFillShade="F2"/>
            <w:vAlign w:val="center"/>
          </w:tcPr>
          <w:p w14:paraId="1CE6D6F6" w14:textId="577CA61D" w:rsidR="00D728CD" w:rsidRPr="00B667BF" w:rsidRDefault="00D728CD" w:rsidP="00866B68">
            <w:pPr>
              <w:jc w:val="center"/>
              <w:rPr>
                <w:rFonts w:ascii="Salzburg Serial" w:hAnsi="Salzburg Serial"/>
                <w:sz w:val="20"/>
                <w:szCs w:val="20"/>
                <w:lang w:val="en-US"/>
              </w:rPr>
            </w:pPr>
            <w:r w:rsidRPr="00B667BF">
              <w:rPr>
                <w:rFonts w:ascii="Salzburg Serial" w:hAnsi="Salzburg Serial"/>
                <w:sz w:val="20"/>
                <w:szCs w:val="20"/>
                <w:lang w:val="en-US"/>
              </w:rPr>
              <w:t>Income Acct Debt</w:t>
            </w:r>
          </w:p>
        </w:tc>
        <w:tc>
          <w:tcPr>
            <w:tcW w:w="2749" w:type="dxa"/>
            <w:gridSpan w:val="2"/>
            <w:shd w:val="clear" w:color="auto" w:fill="F2F2F2" w:themeFill="background1" w:themeFillShade="F2"/>
          </w:tcPr>
          <w:p w14:paraId="5ED16D43" w14:textId="3E923F90" w:rsidR="00D728CD" w:rsidRPr="00B667BF" w:rsidRDefault="00D728CD" w:rsidP="00866B68">
            <w:pPr>
              <w:jc w:val="center"/>
              <w:rPr>
                <w:rFonts w:ascii="Salzburg Serial" w:hAnsi="Salzburg Serial"/>
                <w:sz w:val="20"/>
                <w:szCs w:val="20"/>
                <w:lang w:val="en-US"/>
              </w:rPr>
            </w:pPr>
            <w:r w:rsidRPr="00B667BF">
              <w:rPr>
                <w:rFonts w:ascii="Salzburg Serial" w:hAnsi="Salzburg Serial"/>
                <w:sz w:val="20"/>
                <w:szCs w:val="20"/>
                <w:lang w:val="en-US"/>
              </w:rPr>
              <w:t>Direct Debit Account Details</w:t>
            </w:r>
          </w:p>
        </w:tc>
      </w:tr>
      <w:tr w:rsidR="00D728CD" w:rsidRPr="00483664" w14:paraId="2DE88B16" w14:textId="77777777" w:rsidTr="00D728CD">
        <w:trPr>
          <w:trHeight w:val="263"/>
        </w:trPr>
        <w:tc>
          <w:tcPr>
            <w:tcW w:w="2720" w:type="dxa"/>
            <w:vMerge/>
          </w:tcPr>
          <w:p w14:paraId="0708159B" w14:textId="77777777" w:rsidR="00D728CD" w:rsidRPr="00B667BF" w:rsidRDefault="00D728CD" w:rsidP="00866B68">
            <w:pPr>
              <w:jc w:val="center"/>
              <w:rPr>
                <w:rFonts w:ascii="Salzburg Serial" w:hAnsi="Salzburg Serial"/>
                <w:sz w:val="20"/>
                <w:szCs w:val="20"/>
                <w:highlight w:val="lightGray"/>
                <w:lang w:val="en-US"/>
              </w:rPr>
            </w:pPr>
          </w:p>
        </w:tc>
        <w:tc>
          <w:tcPr>
            <w:tcW w:w="1901" w:type="dxa"/>
            <w:vMerge/>
          </w:tcPr>
          <w:p w14:paraId="5C318112" w14:textId="77777777" w:rsidR="00D728CD" w:rsidRPr="00B667BF" w:rsidRDefault="00D728CD" w:rsidP="00866B68">
            <w:pPr>
              <w:jc w:val="center"/>
              <w:rPr>
                <w:rFonts w:ascii="Salzburg Serial" w:hAnsi="Salzburg Serial"/>
                <w:sz w:val="20"/>
                <w:szCs w:val="20"/>
                <w:highlight w:val="lightGray"/>
                <w:lang w:val="en-US"/>
              </w:rPr>
            </w:pPr>
          </w:p>
        </w:tc>
        <w:tc>
          <w:tcPr>
            <w:tcW w:w="1333" w:type="dxa"/>
            <w:vMerge/>
          </w:tcPr>
          <w:p w14:paraId="72317E5B" w14:textId="77777777" w:rsidR="00D728CD" w:rsidRPr="00B667BF" w:rsidRDefault="00D728CD" w:rsidP="00866B68">
            <w:pPr>
              <w:jc w:val="center"/>
              <w:rPr>
                <w:rFonts w:ascii="Salzburg Serial" w:hAnsi="Salzburg Serial"/>
                <w:sz w:val="20"/>
                <w:szCs w:val="20"/>
                <w:highlight w:val="lightGray"/>
                <w:lang w:val="en-US"/>
              </w:rPr>
            </w:pPr>
          </w:p>
        </w:tc>
        <w:tc>
          <w:tcPr>
            <w:tcW w:w="1504" w:type="dxa"/>
            <w:vMerge/>
          </w:tcPr>
          <w:p w14:paraId="6FC95BB2" w14:textId="77777777" w:rsidR="00D728CD" w:rsidRPr="00B667BF" w:rsidRDefault="00D728CD" w:rsidP="00866B68">
            <w:pPr>
              <w:jc w:val="center"/>
              <w:rPr>
                <w:rFonts w:ascii="Salzburg Serial" w:hAnsi="Salzburg Serial"/>
                <w:sz w:val="20"/>
                <w:szCs w:val="20"/>
                <w:lang w:val="en-US"/>
              </w:rPr>
            </w:pPr>
          </w:p>
        </w:tc>
        <w:tc>
          <w:tcPr>
            <w:tcW w:w="1331" w:type="dxa"/>
            <w:shd w:val="clear" w:color="auto" w:fill="F2F2F2" w:themeFill="background1" w:themeFillShade="F2"/>
          </w:tcPr>
          <w:p w14:paraId="5E7968DC" w14:textId="7CF9D5AD" w:rsidR="00D728CD" w:rsidRPr="00B667BF" w:rsidRDefault="00D728CD" w:rsidP="00866B68">
            <w:pPr>
              <w:jc w:val="center"/>
              <w:rPr>
                <w:rFonts w:ascii="Salzburg Serial" w:hAnsi="Salzburg Serial"/>
                <w:sz w:val="20"/>
                <w:szCs w:val="20"/>
                <w:lang w:val="en-US"/>
              </w:rPr>
            </w:pPr>
            <w:r w:rsidRPr="00B667BF">
              <w:rPr>
                <w:rFonts w:ascii="Salzburg Serial" w:hAnsi="Salzburg Serial"/>
                <w:sz w:val="20"/>
                <w:szCs w:val="20"/>
                <w:lang w:val="en-US"/>
              </w:rPr>
              <w:t>BSB</w:t>
            </w:r>
          </w:p>
        </w:tc>
        <w:tc>
          <w:tcPr>
            <w:tcW w:w="1418" w:type="dxa"/>
            <w:shd w:val="clear" w:color="auto" w:fill="F2F2F2" w:themeFill="background1" w:themeFillShade="F2"/>
          </w:tcPr>
          <w:p w14:paraId="1ACFB892" w14:textId="68BEF0BA" w:rsidR="00D728CD" w:rsidRPr="00B667BF" w:rsidRDefault="00D728CD" w:rsidP="00866B68">
            <w:pPr>
              <w:jc w:val="center"/>
              <w:rPr>
                <w:rFonts w:ascii="Salzburg Serial" w:hAnsi="Salzburg Serial"/>
                <w:sz w:val="20"/>
                <w:szCs w:val="20"/>
                <w:lang w:val="en-US"/>
              </w:rPr>
            </w:pPr>
            <w:r w:rsidRPr="00B667BF">
              <w:rPr>
                <w:rFonts w:ascii="Salzburg Serial" w:hAnsi="Salzburg Serial"/>
                <w:sz w:val="20"/>
                <w:szCs w:val="20"/>
                <w:lang w:val="en-US"/>
              </w:rPr>
              <w:t>Account No.</w:t>
            </w:r>
          </w:p>
        </w:tc>
      </w:tr>
      <w:tr w:rsidR="00866B68" w:rsidRPr="00483664" w14:paraId="474C8BE8" w14:textId="77777777" w:rsidTr="00483664">
        <w:trPr>
          <w:trHeight w:val="456"/>
        </w:trPr>
        <w:tc>
          <w:tcPr>
            <w:tcW w:w="2720" w:type="dxa"/>
          </w:tcPr>
          <w:p w14:paraId="3E34DC14" w14:textId="77777777" w:rsidR="00866B68" w:rsidRPr="00B667BF" w:rsidRDefault="00866B68">
            <w:pPr>
              <w:rPr>
                <w:rFonts w:ascii="Salzburg Serial" w:hAnsi="Salzburg Serial"/>
                <w:sz w:val="20"/>
                <w:szCs w:val="20"/>
                <w:lang w:val="en-US"/>
              </w:rPr>
            </w:pPr>
          </w:p>
        </w:tc>
        <w:tc>
          <w:tcPr>
            <w:tcW w:w="1901" w:type="dxa"/>
          </w:tcPr>
          <w:p w14:paraId="0CEBB825" w14:textId="77777777" w:rsidR="00866B68" w:rsidRPr="00B667BF" w:rsidRDefault="00866B68">
            <w:pPr>
              <w:rPr>
                <w:rFonts w:ascii="Salzburg Serial" w:hAnsi="Salzburg Serial"/>
                <w:sz w:val="20"/>
                <w:szCs w:val="20"/>
                <w:lang w:val="en-US"/>
              </w:rPr>
            </w:pPr>
          </w:p>
        </w:tc>
        <w:tc>
          <w:tcPr>
            <w:tcW w:w="1333" w:type="dxa"/>
          </w:tcPr>
          <w:p w14:paraId="4A0424DB" w14:textId="77777777" w:rsidR="00866B68" w:rsidRPr="00B667BF" w:rsidRDefault="00866B68">
            <w:pPr>
              <w:rPr>
                <w:rFonts w:ascii="Salzburg Serial" w:hAnsi="Salzburg Serial"/>
                <w:sz w:val="20"/>
                <w:szCs w:val="20"/>
                <w:lang w:val="en-US"/>
              </w:rPr>
            </w:pPr>
          </w:p>
        </w:tc>
        <w:tc>
          <w:tcPr>
            <w:tcW w:w="1504" w:type="dxa"/>
          </w:tcPr>
          <w:p w14:paraId="1C06AEFE" w14:textId="77777777" w:rsidR="00866B68" w:rsidRPr="00B667BF" w:rsidRDefault="00866B68">
            <w:pPr>
              <w:rPr>
                <w:rFonts w:ascii="Salzburg Serial" w:hAnsi="Salzburg Serial"/>
                <w:sz w:val="20"/>
                <w:szCs w:val="20"/>
                <w:lang w:val="en-US"/>
              </w:rPr>
            </w:pPr>
          </w:p>
        </w:tc>
        <w:tc>
          <w:tcPr>
            <w:tcW w:w="1331" w:type="dxa"/>
          </w:tcPr>
          <w:p w14:paraId="550097CC" w14:textId="77777777" w:rsidR="00866B68" w:rsidRPr="00B667BF" w:rsidRDefault="00866B68">
            <w:pPr>
              <w:rPr>
                <w:rFonts w:ascii="Salzburg Serial" w:hAnsi="Salzburg Serial"/>
                <w:sz w:val="20"/>
                <w:szCs w:val="20"/>
                <w:lang w:val="en-US"/>
              </w:rPr>
            </w:pPr>
          </w:p>
        </w:tc>
        <w:tc>
          <w:tcPr>
            <w:tcW w:w="1418" w:type="dxa"/>
          </w:tcPr>
          <w:p w14:paraId="4773FA0C" w14:textId="0A8CC224" w:rsidR="00866B68" w:rsidRPr="00B667BF" w:rsidRDefault="00866B68">
            <w:pPr>
              <w:rPr>
                <w:rFonts w:ascii="Salzburg Serial" w:hAnsi="Salzburg Serial"/>
                <w:sz w:val="20"/>
                <w:szCs w:val="20"/>
                <w:lang w:val="en-US"/>
              </w:rPr>
            </w:pPr>
          </w:p>
        </w:tc>
      </w:tr>
      <w:tr w:rsidR="00866B68" w:rsidRPr="00483664" w14:paraId="1CE1BCA1" w14:textId="77777777" w:rsidTr="00483664">
        <w:trPr>
          <w:trHeight w:val="447"/>
        </w:trPr>
        <w:tc>
          <w:tcPr>
            <w:tcW w:w="2720" w:type="dxa"/>
          </w:tcPr>
          <w:p w14:paraId="313402D6" w14:textId="77777777" w:rsidR="00866B68" w:rsidRPr="00483664" w:rsidRDefault="00866B68">
            <w:pPr>
              <w:rPr>
                <w:rFonts w:ascii="Salzburg Serial" w:hAnsi="Salzburg Serial"/>
                <w:lang w:val="en-US"/>
              </w:rPr>
            </w:pPr>
          </w:p>
        </w:tc>
        <w:tc>
          <w:tcPr>
            <w:tcW w:w="1901" w:type="dxa"/>
          </w:tcPr>
          <w:p w14:paraId="335D93F9" w14:textId="77777777" w:rsidR="00866B68" w:rsidRPr="00483664" w:rsidRDefault="00866B68">
            <w:pPr>
              <w:rPr>
                <w:rFonts w:ascii="Salzburg Serial" w:hAnsi="Salzburg Serial"/>
                <w:lang w:val="en-US"/>
              </w:rPr>
            </w:pPr>
          </w:p>
        </w:tc>
        <w:tc>
          <w:tcPr>
            <w:tcW w:w="1333" w:type="dxa"/>
          </w:tcPr>
          <w:p w14:paraId="28029532" w14:textId="77777777" w:rsidR="00866B68" w:rsidRPr="00483664" w:rsidRDefault="00866B68">
            <w:pPr>
              <w:rPr>
                <w:rFonts w:ascii="Salzburg Serial" w:hAnsi="Salzburg Serial"/>
                <w:lang w:val="en-US"/>
              </w:rPr>
            </w:pPr>
          </w:p>
        </w:tc>
        <w:tc>
          <w:tcPr>
            <w:tcW w:w="1504" w:type="dxa"/>
          </w:tcPr>
          <w:p w14:paraId="06225B8F" w14:textId="77777777" w:rsidR="00866B68" w:rsidRPr="00483664" w:rsidRDefault="00866B68">
            <w:pPr>
              <w:rPr>
                <w:rFonts w:ascii="Salzburg Serial" w:hAnsi="Salzburg Serial"/>
                <w:lang w:val="en-US"/>
              </w:rPr>
            </w:pPr>
          </w:p>
        </w:tc>
        <w:tc>
          <w:tcPr>
            <w:tcW w:w="1331" w:type="dxa"/>
          </w:tcPr>
          <w:p w14:paraId="0B7F4DC0" w14:textId="77777777" w:rsidR="00866B68" w:rsidRPr="00483664" w:rsidRDefault="00866B68">
            <w:pPr>
              <w:rPr>
                <w:rFonts w:ascii="Salzburg Serial" w:hAnsi="Salzburg Serial"/>
                <w:lang w:val="en-US"/>
              </w:rPr>
            </w:pPr>
          </w:p>
        </w:tc>
        <w:tc>
          <w:tcPr>
            <w:tcW w:w="1418" w:type="dxa"/>
          </w:tcPr>
          <w:p w14:paraId="6F1F3FDC" w14:textId="636742EC" w:rsidR="00866B68" w:rsidRPr="00483664" w:rsidRDefault="00866B68">
            <w:pPr>
              <w:rPr>
                <w:rFonts w:ascii="Salzburg Serial" w:hAnsi="Salzburg Serial"/>
                <w:lang w:val="en-US"/>
              </w:rPr>
            </w:pPr>
          </w:p>
        </w:tc>
      </w:tr>
      <w:tr w:rsidR="00866B68" w:rsidRPr="00483664" w14:paraId="18B5F120" w14:textId="77777777" w:rsidTr="00483664">
        <w:trPr>
          <w:trHeight w:val="422"/>
        </w:trPr>
        <w:tc>
          <w:tcPr>
            <w:tcW w:w="2720" w:type="dxa"/>
          </w:tcPr>
          <w:p w14:paraId="298DEF95" w14:textId="77777777" w:rsidR="00866B68" w:rsidRPr="00483664" w:rsidRDefault="00866B68">
            <w:pPr>
              <w:rPr>
                <w:rFonts w:ascii="Salzburg Serial" w:hAnsi="Salzburg Serial"/>
                <w:lang w:val="en-US"/>
              </w:rPr>
            </w:pPr>
          </w:p>
        </w:tc>
        <w:tc>
          <w:tcPr>
            <w:tcW w:w="1901" w:type="dxa"/>
          </w:tcPr>
          <w:p w14:paraId="452CFB46" w14:textId="77777777" w:rsidR="00866B68" w:rsidRPr="00483664" w:rsidRDefault="00866B68">
            <w:pPr>
              <w:rPr>
                <w:rFonts w:ascii="Salzburg Serial" w:hAnsi="Salzburg Serial"/>
                <w:lang w:val="en-US"/>
              </w:rPr>
            </w:pPr>
          </w:p>
        </w:tc>
        <w:tc>
          <w:tcPr>
            <w:tcW w:w="1333" w:type="dxa"/>
          </w:tcPr>
          <w:p w14:paraId="69B08598" w14:textId="77777777" w:rsidR="00866B68" w:rsidRPr="00483664" w:rsidRDefault="00866B68">
            <w:pPr>
              <w:rPr>
                <w:rFonts w:ascii="Salzburg Serial" w:hAnsi="Salzburg Serial"/>
                <w:lang w:val="en-US"/>
              </w:rPr>
            </w:pPr>
          </w:p>
        </w:tc>
        <w:tc>
          <w:tcPr>
            <w:tcW w:w="1504" w:type="dxa"/>
          </w:tcPr>
          <w:p w14:paraId="3401F7E7" w14:textId="77777777" w:rsidR="00866B68" w:rsidRPr="00483664" w:rsidRDefault="00866B68">
            <w:pPr>
              <w:rPr>
                <w:rFonts w:ascii="Salzburg Serial" w:hAnsi="Salzburg Serial"/>
                <w:lang w:val="en-US"/>
              </w:rPr>
            </w:pPr>
          </w:p>
        </w:tc>
        <w:tc>
          <w:tcPr>
            <w:tcW w:w="1331" w:type="dxa"/>
          </w:tcPr>
          <w:p w14:paraId="1F31968E" w14:textId="77777777" w:rsidR="00866B68" w:rsidRPr="00483664" w:rsidRDefault="00866B68">
            <w:pPr>
              <w:rPr>
                <w:rFonts w:ascii="Salzburg Serial" w:hAnsi="Salzburg Serial"/>
                <w:lang w:val="en-US"/>
              </w:rPr>
            </w:pPr>
          </w:p>
        </w:tc>
        <w:tc>
          <w:tcPr>
            <w:tcW w:w="1418" w:type="dxa"/>
          </w:tcPr>
          <w:p w14:paraId="4A903109" w14:textId="4F5F89AD" w:rsidR="00866B68" w:rsidRPr="00483664" w:rsidRDefault="00866B68">
            <w:pPr>
              <w:rPr>
                <w:rFonts w:ascii="Salzburg Serial" w:hAnsi="Salzburg Serial"/>
                <w:lang w:val="en-US"/>
              </w:rPr>
            </w:pPr>
          </w:p>
        </w:tc>
      </w:tr>
    </w:tbl>
    <w:p w14:paraId="6C48F062" w14:textId="77777777" w:rsidR="00014D12" w:rsidRPr="00B667BF" w:rsidRDefault="00014D12">
      <w:pPr>
        <w:rPr>
          <w:rFonts w:ascii="Salzburg Serial" w:hAnsi="Salzburg Serial"/>
          <w:sz w:val="20"/>
          <w:szCs w:val="20"/>
          <w:lang w:val="en-US"/>
        </w:rPr>
      </w:pPr>
    </w:p>
    <w:p w14:paraId="3F18B058" w14:textId="15B13A92" w:rsidR="00014D12" w:rsidRDefault="00866B68" w:rsidP="001546A0">
      <w:pPr>
        <w:spacing w:after="0"/>
        <w:jc w:val="both"/>
        <w:rPr>
          <w:rFonts w:ascii="Salzburg Serial" w:hAnsi="Salzburg Serial"/>
          <w:sz w:val="20"/>
          <w:szCs w:val="20"/>
          <w:lang w:val="en-US"/>
        </w:rPr>
      </w:pPr>
      <w:r w:rsidRPr="00B667BF">
        <w:rPr>
          <w:rFonts w:ascii="Salzburg Serial" w:hAnsi="Salzburg Serial"/>
          <w:sz w:val="20"/>
          <w:szCs w:val="20"/>
          <w:lang w:val="en-US"/>
        </w:rPr>
        <w:t xml:space="preserve">Please confirm </w:t>
      </w:r>
      <w:r w:rsidR="00014D12">
        <w:rPr>
          <w:rFonts w:ascii="Salzburg Serial" w:hAnsi="Salzburg Serial"/>
          <w:sz w:val="20"/>
          <w:szCs w:val="20"/>
          <w:lang w:val="en-US"/>
        </w:rPr>
        <w:t>the amount you wish to commit to and the frequency of payment</w:t>
      </w:r>
      <w:r w:rsidR="001546A0" w:rsidRPr="00B667BF">
        <w:rPr>
          <w:rFonts w:ascii="Salzburg Serial" w:hAnsi="Salzburg Serial"/>
          <w:sz w:val="20"/>
          <w:szCs w:val="20"/>
          <w:lang w:val="en-US"/>
        </w:rPr>
        <w:t xml:space="preserve"> to be Direct Debited </w:t>
      </w:r>
      <w:r w:rsidR="00D728CD">
        <w:rPr>
          <w:rFonts w:ascii="Salzburg Serial" w:hAnsi="Salzburg Serial"/>
          <w:sz w:val="20"/>
          <w:szCs w:val="20"/>
          <w:lang w:val="en-US"/>
        </w:rPr>
        <w:t xml:space="preserve">by the </w:t>
      </w:r>
      <w:r w:rsidR="00014D12">
        <w:rPr>
          <w:rFonts w:ascii="Salzburg Serial" w:hAnsi="Salzburg Serial"/>
          <w:sz w:val="20"/>
          <w:szCs w:val="20"/>
          <w:lang w:val="en-US"/>
        </w:rPr>
        <w:t xml:space="preserve">ATO.  Please </w:t>
      </w:r>
      <w:r w:rsidR="001546A0" w:rsidRPr="00B667BF">
        <w:rPr>
          <w:rFonts w:ascii="Salzburg Serial" w:hAnsi="Salzburg Serial"/>
          <w:sz w:val="20"/>
          <w:szCs w:val="20"/>
          <w:lang w:val="en-US"/>
        </w:rPr>
        <w:t xml:space="preserve">ensure funds are always </w:t>
      </w:r>
      <w:r w:rsidR="00D728CD">
        <w:rPr>
          <w:rFonts w:ascii="Salzburg Serial" w:hAnsi="Salzburg Serial"/>
          <w:sz w:val="20"/>
          <w:szCs w:val="20"/>
          <w:lang w:val="en-US"/>
        </w:rPr>
        <w:t>made available.</w:t>
      </w:r>
    </w:p>
    <w:p w14:paraId="6388E00B" w14:textId="77777777" w:rsidR="00014D12" w:rsidRPr="00B667BF" w:rsidRDefault="00014D12" w:rsidP="001546A0">
      <w:pPr>
        <w:spacing w:after="0"/>
        <w:jc w:val="both"/>
        <w:rPr>
          <w:rFonts w:ascii="Salzburg Serial" w:hAnsi="Salzburg Serial"/>
          <w:sz w:val="20"/>
          <w:szCs w:val="20"/>
          <w:lang w:val="en-US"/>
        </w:rPr>
      </w:pPr>
    </w:p>
    <w:tbl>
      <w:tblPr>
        <w:tblStyle w:val="TableGrid"/>
        <w:tblpPr w:leftFromText="180" w:rightFromText="180" w:vertAnchor="text" w:tblpXSpec="center" w:tblpY="1"/>
        <w:tblOverlap w:val="never"/>
        <w:tblW w:w="10206" w:type="dxa"/>
        <w:jc w:val="center"/>
        <w:tblLook w:val="04A0" w:firstRow="1" w:lastRow="0" w:firstColumn="1" w:lastColumn="0" w:noHBand="0" w:noVBand="1"/>
      </w:tblPr>
      <w:tblGrid>
        <w:gridCol w:w="2405"/>
        <w:gridCol w:w="2018"/>
        <w:gridCol w:w="1668"/>
        <w:gridCol w:w="1842"/>
        <w:gridCol w:w="2273"/>
      </w:tblGrid>
      <w:tr w:rsidR="00D728CD" w:rsidRPr="00B667BF" w14:paraId="1BAB16DD" w14:textId="77777777" w:rsidTr="00014D12">
        <w:trPr>
          <w:trHeight w:val="233"/>
          <w:jc w:val="center"/>
        </w:trPr>
        <w:tc>
          <w:tcPr>
            <w:tcW w:w="2405" w:type="dxa"/>
            <w:vMerge w:val="restart"/>
            <w:shd w:val="clear" w:color="auto" w:fill="F2F2F2" w:themeFill="background1" w:themeFillShade="F2"/>
            <w:vAlign w:val="center"/>
          </w:tcPr>
          <w:p w14:paraId="7A8F644F" w14:textId="7FF5F136" w:rsidR="00D728CD" w:rsidRPr="00B667BF" w:rsidRDefault="00D728CD" w:rsidP="001546A0">
            <w:pPr>
              <w:jc w:val="center"/>
              <w:rPr>
                <w:rFonts w:ascii="Salzburg Serial" w:hAnsi="Salzburg Serial"/>
                <w:sz w:val="20"/>
                <w:szCs w:val="20"/>
                <w:lang w:val="en-US"/>
              </w:rPr>
            </w:pPr>
            <w:r w:rsidRPr="00B667BF">
              <w:rPr>
                <w:rFonts w:ascii="Salzburg Serial" w:hAnsi="Salzburg Serial"/>
                <w:sz w:val="20"/>
                <w:szCs w:val="20"/>
                <w:lang w:val="en-US"/>
              </w:rPr>
              <w:t>Accounts</w:t>
            </w:r>
          </w:p>
        </w:tc>
        <w:tc>
          <w:tcPr>
            <w:tcW w:w="5528" w:type="dxa"/>
            <w:gridSpan w:val="3"/>
            <w:shd w:val="clear" w:color="auto" w:fill="0F4761" w:themeFill="accent1" w:themeFillShade="BF"/>
            <w:vAlign w:val="center"/>
          </w:tcPr>
          <w:p w14:paraId="6A08201C" w14:textId="4FCA1F08" w:rsidR="00D728CD" w:rsidRPr="00B667BF" w:rsidRDefault="00014D12" w:rsidP="001546A0">
            <w:pPr>
              <w:jc w:val="center"/>
              <w:rPr>
                <w:rFonts w:ascii="Salzburg Serial" w:hAnsi="Salzburg Serial"/>
                <w:sz w:val="20"/>
                <w:szCs w:val="20"/>
                <w:lang w:val="en-US"/>
              </w:rPr>
            </w:pPr>
            <w:r>
              <w:rPr>
                <w:rFonts w:ascii="Salzburg Serial" w:hAnsi="Salzburg Serial"/>
                <w:color w:val="FFFFFF" w:themeColor="background1"/>
                <w:sz w:val="20"/>
                <w:szCs w:val="20"/>
                <w:lang w:val="en-US"/>
              </w:rPr>
              <w:t>Please enter the amount and payment Frequency in the column below</w:t>
            </w:r>
          </w:p>
        </w:tc>
        <w:tc>
          <w:tcPr>
            <w:tcW w:w="2273" w:type="dxa"/>
            <w:vMerge w:val="restart"/>
            <w:shd w:val="clear" w:color="auto" w:fill="F2F2F2" w:themeFill="background1" w:themeFillShade="F2"/>
            <w:vAlign w:val="center"/>
          </w:tcPr>
          <w:p w14:paraId="54C4C449" w14:textId="160A4E17" w:rsidR="00D728CD" w:rsidRPr="00B667BF" w:rsidRDefault="00D728CD" w:rsidP="001546A0">
            <w:pPr>
              <w:jc w:val="center"/>
              <w:rPr>
                <w:rFonts w:ascii="Salzburg Serial" w:hAnsi="Salzburg Serial"/>
                <w:sz w:val="20"/>
                <w:szCs w:val="20"/>
                <w:lang w:val="en-US"/>
              </w:rPr>
            </w:pPr>
            <w:r w:rsidRPr="00B667BF">
              <w:rPr>
                <w:rFonts w:ascii="Salzburg Serial" w:hAnsi="Salzburg Serial"/>
                <w:sz w:val="20"/>
                <w:szCs w:val="20"/>
                <w:lang w:val="en-US"/>
              </w:rPr>
              <w:t>Plan Start Date</w:t>
            </w:r>
          </w:p>
        </w:tc>
      </w:tr>
      <w:tr w:rsidR="00D728CD" w:rsidRPr="00B667BF" w14:paraId="3D60D56D" w14:textId="77777777" w:rsidTr="00014D12">
        <w:trPr>
          <w:trHeight w:val="232"/>
          <w:jc w:val="center"/>
        </w:trPr>
        <w:tc>
          <w:tcPr>
            <w:tcW w:w="2405" w:type="dxa"/>
            <w:vMerge/>
            <w:shd w:val="clear" w:color="auto" w:fill="F2F2F2" w:themeFill="background1" w:themeFillShade="F2"/>
            <w:vAlign w:val="center"/>
          </w:tcPr>
          <w:p w14:paraId="6962525B" w14:textId="77777777" w:rsidR="00D728CD" w:rsidRPr="00B667BF" w:rsidRDefault="00D728CD" w:rsidP="001546A0">
            <w:pPr>
              <w:jc w:val="center"/>
              <w:rPr>
                <w:rFonts w:ascii="Salzburg Serial" w:hAnsi="Salzburg Serial"/>
                <w:sz w:val="20"/>
                <w:szCs w:val="20"/>
                <w:lang w:val="en-US"/>
              </w:rPr>
            </w:pPr>
          </w:p>
        </w:tc>
        <w:tc>
          <w:tcPr>
            <w:tcW w:w="2018" w:type="dxa"/>
            <w:shd w:val="clear" w:color="auto" w:fill="0F4761" w:themeFill="accent1" w:themeFillShade="BF"/>
            <w:vAlign w:val="center"/>
          </w:tcPr>
          <w:p w14:paraId="7BFE6C0F" w14:textId="5F0047F9" w:rsidR="00D728CD" w:rsidRDefault="00D728CD" w:rsidP="001546A0">
            <w:pPr>
              <w:jc w:val="center"/>
              <w:rPr>
                <w:rFonts w:ascii="Salzburg Serial" w:hAnsi="Salzburg Serial"/>
                <w:sz w:val="20"/>
                <w:szCs w:val="20"/>
                <w:lang w:val="en-US"/>
              </w:rPr>
            </w:pPr>
            <w:r>
              <w:rPr>
                <w:rFonts w:ascii="Salzburg Serial" w:hAnsi="Salzburg Serial"/>
                <w:sz w:val="20"/>
                <w:szCs w:val="20"/>
                <w:lang w:val="en-US"/>
              </w:rPr>
              <w:t>Weekly</w:t>
            </w:r>
          </w:p>
        </w:tc>
        <w:tc>
          <w:tcPr>
            <w:tcW w:w="1668" w:type="dxa"/>
            <w:shd w:val="clear" w:color="auto" w:fill="0F4761" w:themeFill="accent1" w:themeFillShade="BF"/>
            <w:vAlign w:val="center"/>
          </w:tcPr>
          <w:p w14:paraId="6A847714" w14:textId="60B50CBB" w:rsidR="00D728CD" w:rsidRPr="00B667BF" w:rsidRDefault="00D728CD" w:rsidP="001546A0">
            <w:pPr>
              <w:jc w:val="center"/>
              <w:rPr>
                <w:rFonts w:ascii="Salzburg Serial" w:hAnsi="Salzburg Serial"/>
                <w:sz w:val="20"/>
                <w:szCs w:val="20"/>
                <w:lang w:val="en-US"/>
              </w:rPr>
            </w:pPr>
            <w:r>
              <w:rPr>
                <w:rFonts w:ascii="Salzburg Serial" w:hAnsi="Salzburg Serial"/>
                <w:sz w:val="20"/>
                <w:szCs w:val="20"/>
                <w:lang w:val="en-US"/>
              </w:rPr>
              <w:t>Fortnightly</w:t>
            </w:r>
          </w:p>
        </w:tc>
        <w:tc>
          <w:tcPr>
            <w:tcW w:w="1842" w:type="dxa"/>
            <w:shd w:val="clear" w:color="auto" w:fill="0F4761" w:themeFill="accent1" w:themeFillShade="BF"/>
            <w:vAlign w:val="center"/>
          </w:tcPr>
          <w:p w14:paraId="76D92F60" w14:textId="38B69FB0" w:rsidR="00D728CD" w:rsidRPr="00B667BF" w:rsidRDefault="00D728CD" w:rsidP="001546A0">
            <w:pPr>
              <w:jc w:val="center"/>
              <w:rPr>
                <w:rFonts w:ascii="Salzburg Serial" w:hAnsi="Salzburg Serial"/>
                <w:sz w:val="20"/>
                <w:szCs w:val="20"/>
                <w:lang w:val="en-US"/>
              </w:rPr>
            </w:pPr>
            <w:r>
              <w:rPr>
                <w:rFonts w:ascii="Salzburg Serial" w:hAnsi="Salzburg Serial"/>
                <w:sz w:val="20"/>
                <w:szCs w:val="20"/>
                <w:lang w:val="en-US"/>
              </w:rPr>
              <w:t>Monthly</w:t>
            </w:r>
          </w:p>
        </w:tc>
        <w:tc>
          <w:tcPr>
            <w:tcW w:w="2273" w:type="dxa"/>
            <w:vMerge/>
            <w:shd w:val="clear" w:color="auto" w:fill="F2F2F2" w:themeFill="background1" w:themeFillShade="F2"/>
            <w:vAlign w:val="center"/>
          </w:tcPr>
          <w:p w14:paraId="04FB7269" w14:textId="77777777" w:rsidR="00D728CD" w:rsidRPr="00B667BF" w:rsidRDefault="00D728CD" w:rsidP="001546A0">
            <w:pPr>
              <w:jc w:val="center"/>
              <w:rPr>
                <w:rFonts w:ascii="Salzburg Serial" w:hAnsi="Salzburg Serial"/>
                <w:sz w:val="20"/>
                <w:szCs w:val="20"/>
                <w:lang w:val="en-US"/>
              </w:rPr>
            </w:pPr>
          </w:p>
        </w:tc>
      </w:tr>
      <w:tr w:rsidR="00D728CD" w:rsidRPr="00483664" w14:paraId="14381579" w14:textId="77777777" w:rsidTr="00D728CD">
        <w:trPr>
          <w:trHeight w:val="440"/>
          <w:jc w:val="center"/>
        </w:trPr>
        <w:tc>
          <w:tcPr>
            <w:tcW w:w="2405" w:type="dxa"/>
          </w:tcPr>
          <w:p w14:paraId="0D98D6CF" w14:textId="458694DE" w:rsidR="00D728CD" w:rsidRPr="00B667BF" w:rsidRDefault="00D728CD" w:rsidP="001546A0">
            <w:pPr>
              <w:rPr>
                <w:rFonts w:ascii="Salzburg Serial" w:hAnsi="Salzburg Serial"/>
                <w:sz w:val="20"/>
                <w:szCs w:val="20"/>
                <w:lang w:val="en-US"/>
              </w:rPr>
            </w:pPr>
            <w:r w:rsidRPr="00B667BF">
              <w:rPr>
                <w:rFonts w:ascii="Salzburg Serial" w:hAnsi="Salzburg Serial"/>
                <w:sz w:val="20"/>
                <w:szCs w:val="20"/>
                <w:lang w:val="en-US"/>
              </w:rPr>
              <w:t>Activity Account</w:t>
            </w:r>
          </w:p>
        </w:tc>
        <w:tc>
          <w:tcPr>
            <w:tcW w:w="2018" w:type="dxa"/>
          </w:tcPr>
          <w:p w14:paraId="63DA7F7B" w14:textId="77777777" w:rsidR="00D728CD" w:rsidRPr="00B667BF" w:rsidRDefault="00D728CD" w:rsidP="001546A0">
            <w:pPr>
              <w:rPr>
                <w:rFonts w:ascii="Salzburg Serial" w:hAnsi="Salzburg Serial"/>
                <w:sz w:val="20"/>
                <w:szCs w:val="20"/>
                <w:lang w:val="en-US"/>
              </w:rPr>
            </w:pPr>
            <w:r w:rsidRPr="00B667BF">
              <w:rPr>
                <w:rFonts w:ascii="Salzburg Serial" w:hAnsi="Salzburg Serial"/>
                <w:sz w:val="20"/>
                <w:szCs w:val="20"/>
                <w:lang w:val="en-US"/>
              </w:rPr>
              <w:t>$</w:t>
            </w:r>
          </w:p>
        </w:tc>
        <w:tc>
          <w:tcPr>
            <w:tcW w:w="1668" w:type="dxa"/>
          </w:tcPr>
          <w:p w14:paraId="505970B1" w14:textId="77777777" w:rsidR="00D728CD" w:rsidRPr="00B667BF" w:rsidRDefault="00D728CD" w:rsidP="001546A0">
            <w:pPr>
              <w:rPr>
                <w:rFonts w:ascii="Salzburg Serial" w:hAnsi="Salzburg Serial"/>
                <w:sz w:val="20"/>
                <w:szCs w:val="20"/>
                <w:lang w:val="en-US"/>
              </w:rPr>
            </w:pPr>
          </w:p>
        </w:tc>
        <w:tc>
          <w:tcPr>
            <w:tcW w:w="1842" w:type="dxa"/>
          </w:tcPr>
          <w:p w14:paraId="3B75715B" w14:textId="691BA01E" w:rsidR="00D728CD" w:rsidRPr="00B667BF" w:rsidRDefault="00D728CD" w:rsidP="001546A0">
            <w:pPr>
              <w:rPr>
                <w:rFonts w:ascii="Salzburg Serial" w:hAnsi="Salzburg Serial"/>
                <w:sz w:val="20"/>
                <w:szCs w:val="20"/>
                <w:lang w:val="en-US"/>
              </w:rPr>
            </w:pPr>
          </w:p>
        </w:tc>
        <w:tc>
          <w:tcPr>
            <w:tcW w:w="2273" w:type="dxa"/>
          </w:tcPr>
          <w:p w14:paraId="238A85B4" w14:textId="77777777" w:rsidR="00D728CD" w:rsidRPr="00B667BF" w:rsidRDefault="00D728CD" w:rsidP="001546A0">
            <w:pPr>
              <w:rPr>
                <w:rFonts w:ascii="Salzburg Serial" w:hAnsi="Salzburg Serial"/>
                <w:sz w:val="20"/>
                <w:szCs w:val="20"/>
                <w:lang w:val="en-US"/>
              </w:rPr>
            </w:pPr>
          </w:p>
        </w:tc>
      </w:tr>
      <w:tr w:rsidR="00D728CD" w:rsidRPr="00483664" w14:paraId="4BD7E440" w14:textId="77777777" w:rsidTr="00D728CD">
        <w:trPr>
          <w:trHeight w:val="476"/>
          <w:jc w:val="center"/>
        </w:trPr>
        <w:tc>
          <w:tcPr>
            <w:tcW w:w="2405" w:type="dxa"/>
          </w:tcPr>
          <w:p w14:paraId="469C7695" w14:textId="15DABE8A" w:rsidR="00D728CD" w:rsidRPr="00B667BF" w:rsidRDefault="00D728CD" w:rsidP="001546A0">
            <w:pPr>
              <w:rPr>
                <w:rFonts w:ascii="Salzburg Serial" w:hAnsi="Salzburg Serial"/>
                <w:sz w:val="20"/>
                <w:szCs w:val="20"/>
                <w:lang w:val="en-US"/>
              </w:rPr>
            </w:pPr>
            <w:r w:rsidRPr="00B667BF">
              <w:rPr>
                <w:rFonts w:ascii="Salzburg Serial" w:hAnsi="Salzburg Serial"/>
                <w:sz w:val="20"/>
                <w:szCs w:val="20"/>
                <w:lang w:val="en-US"/>
              </w:rPr>
              <w:t>Income Account</w:t>
            </w:r>
          </w:p>
        </w:tc>
        <w:tc>
          <w:tcPr>
            <w:tcW w:w="2018" w:type="dxa"/>
          </w:tcPr>
          <w:p w14:paraId="16EC7D99" w14:textId="77777777" w:rsidR="00D728CD" w:rsidRPr="00B667BF" w:rsidRDefault="00D728CD" w:rsidP="001546A0">
            <w:pPr>
              <w:rPr>
                <w:rFonts w:ascii="Salzburg Serial" w:hAnsi="Salzburg Serial"/>
                <w:sz w:val="20"/>
                <w:szCs w:val="20"/>
                <w:lang w:val="en-US"/>
              </w:rPr>
            </w:pPr>
            <w:r w:rsidRPr="00B667BF">
              <w:rPr>
                <w:rFonts w:ascii="Salzburg Serial" w:hAnsi="Salzburg Serial"/>
                <w:sz w:val="20"/>
                <w:szCs w:val="20"/>
                <w:lang w:val="en-US"/>
              </w:rPr>
              <w:t>$</w:t>
            </w:r>
          </w:p>
        </w:tc>
        <w:tc>
          <w:tcPr>
            <w:tcW w:w="1668" w:type="dxa"/>
          </w:tcPr>
          <w:p w14:paraId="099B1141" w14:textId="77777777" w:rsidR="00D728CD" w:rsidRPr="00B667BF" w:rsidRDefault="00D728CD" w:rsidP="001546A0">
            <w:pPr>
              <w:rPr>
                <w:rFonts w:ascii="Salzburg Serial" w:hAnsi="Salzburg Serial"/>
                <w:sz w:val="20"/>
                <w:szCs w:val="20"/>
                <w:lang w:val="en-US"/>
              </w:rPr>
            </w:pPr>
          </w:p>
        </w:tc>
        <w:tc>
          <w:tcPr>
            <w:tcW w:w="1842" w:type="dxa"/>
          </w:tcPr>
          <w:p w14:paraId="7B7E11BC" w14:textId="7F486235" w:rsidR="00D728CD" w:rsidRPr="00B667BF" w:rsidRDefault="00D728CD" w:rsidP="001546A0">
            <w:pPr>
              <w:rPr>
                <w:rFonts w:ascii="Salzburg Serial" w:hAnsi="Salzburg Serial"/>
                <w:sz w:val="20"/>
                <w:szCs w:val="20"/>
                <w:lang w:val="en-US"/>
              </w:rPr>
            </w:pPr>
          </w:p>
        </w:tc>
        <w:tc>
          <w:tcPr>
            <w:tcW w:w="2273" w:type="dxa"/>
          </w:tcPr>
          <w:p w14:paraId="2E7B50CF" w14:textId="77777777" w:rsidR="00D728CD" w:rsidRPr="00B667BF" w:rsidRDefault="00D728CD" w:rsidP="001546A0">
            <w:pPr>
              <w:rPr>
                <w:rFonts w:ascii="Salzburg Serial" w:hAnsi="Salzburg Serial"/>
                <w:sz w:val="20"/>
                <w:szCs w:val="20"/>
                <w:lang w:val="en-US"/>
              </w:rPr>
            </w:pPr>
          </w:p>
        </w:tc>
      </w:tr>
    </w:tbl>
    <w:p w14:paraId="2114B8E2" w14:textId="77777777" w:rsidR="00014D12" w:rsidRDefault="00014D12" w:rsidP="00014D12">
      <w:pPr>
        <w:spacing w:after="0"/>
        <w:jc w:val="both"/>
        <w:rPr>
          <w:rFonts w:ascii="Salzburg Serial" w:hAnsi="Salzburg Serial"/>
          <w:sz w:val="20"/>
          <w:szCs w:val="20"/>
        </w:rPr>
      </w:pPr>
    </w:p>
    <w:p w14:paraId="2B4643B0" w14:textId="419F8DEE" w:rsidR="00014D12" w:rsidRDefault="00014D12" w:rsidP="00014D12">
      <w:pPr>
        <w:spacing w:after="0"/>
        <w:jc w:val="both"/>
        <w:rPr>
          <w:rFonts w:ascii="Salzburg Serial" w:hAnsi="Salzburg Serial"/>
          <w:sz w:val="20"/>
          <w:szCs w:val="20"/>
          <w:lang w:val="en-US"/>
        </w:rPr>
      </w:pPr>
      <w:r w:rsidRPr="00B667BF">
        <w:rPr>
          <w:rFonts w:ascii="Salzburg Serial" w:hAnsi="Salzburg Serial"/>
          <w:sz w:val="20"/>
          <w:szCs w:val="20"/>
        </w:rPr>
        <w:t>All future ATO payment obligations are required to be lodged and paid on time, otherwise the ATO will default your payment plan and potentially ask you to pay the amount in arrears in full.</w:t>
      </w:r>
    </w:p>
    <w:p w14:paraId="2D82DE9F" w14:textId="77777777" w:rsidR="00014D12" w:rsidRDefault="00014D12">
      <w:pPr>
        <w:rPr>
          <w:rFonts w:ascii="Salzburg Serial" w:hAnsi="Salzburg Serial"/>
          <w:sz w:val="20"/>
          <w:szCs w:val="20"/>
          <w:lang w:val="en-US"/>
        </w:rPr>
      </w:pPr>
    </w:p>
    <w:p w14:paraId="7AEAB97B" w14:textId="1C1D5CEE" w:rsidR="00B667BF" w:rsidRPr="00014D12" w:rsidRDefault="00B667BF">
      <w:pPr>
        <w:rPr>
          <w:rFonts w:ascii="Salzburg Serial" w:hAnsi="Salzburg Serial"/>
          <w:sz w:val="20"/>
          <w:szCs w:val="20"/>
          <w:lang w:val="en-US"/>
        </w:rPr>
      </w:pPr>
      <w:r w:rsidRPr="00014D12">
        <w:rPr>
          <w:rFonts w:ascii="Salzburg Serial" w:hAnsi="Salzburg Serial"/>
          <w:sz w:val="20"/>
          <w:szCs w:val="20"/>
          <w:lang w:val="en-US"/>
        </w:rPr>
        <w:t>Once ATO confirmation has been received we will email you the payment plan statement for your records.</w:t>
      </w:r>
    </w:p>
    <w:p w14:paraId="2181D175" w14:textId="77777777" w:rsidR="00D728CD" w:rsidRDefault="00D728CD">
      <w:pPr>
        <w:rPr>
          <w:rFonts w:ascii="Salzburg Serial" w:hAnsi="Salzburg Serial"/>
          <w:lang w:val="en-US"/>
        </w:rPr>
      </w:pPr>
    </w:p>
    <w:p w14:paraId="59B2CB13" w14:textId="3B257590" w:rsidR="00014D12" w:rsidRDefault="00D728CD">
      <w:pPr>
        <w:rPr>
          <w:rFonts w:ascii="Salzburg Serial" w:hAnsi="Salzburg Serial"/>
          <w:sz w:val="20"/>
          <w:szCs w:val="20"/>
          <w:lang w:val="en-US"/>
        </w:rPr>
      </w:pPr>
      <w:r w:rsidRPr="00014D12">
        <w:rPr>
          <w:rFonts w:ascii="Salzburg Serial" w:hAnsi="Salzburg Serial"/>
          <w:sz w:val="20"/>
          <w:szCs w:val="20"/>
          <w:lang w:val="en-US"/>
        </w:rPr>
        <w:t>Kind Regards</w:t>
      </w:r>
      <w:r w:rsidR="00014D12">
        <w:rPr>
          <w:rFonts w:ascii="Salzburg Serial" w:hAnsi="Salzburg Serial"/>
          <w:sz w:val="20"/>
          <w:szCs w:val="20"/>
          <w:lang w:val="en-US"/>
        </w:rPr>
        <w:t>,</w:t>
      </w:r>
    </w:p>
    <w:p w14:paraId="43425C64" w14:textId="271BF11A" w:rsidR="00D728CD" w:rsidRPr="00014D12" w:rsidRDefault="00014D12">
      <w:pPr>
        <w:rPr>
          <w:rFonts w:ascii="Salzburg Serial" w:hAnsi="Salzburg Serial"/>
          <w:sz w:val="20"/>
          <w:szCs w:val="20"/>
          <w:lang w:val="en-US"/>
        </w:rPr>
      </w:pPr>
      <w:proofErr w:type="spellStart"/>
      <w:r>
        <w:rPr>
          <w:rFonts w:ascii="Salzburg Serial" w:hAnsi="Salzburg Serial"/>
          <w:sz w:val="20"/>
          <w:szCs w:val="20"/>
          <w:lang w:val="en-US"/>
        </w:rPr>
        <w:t>I</w:t>
      </w:r>
      <w:r w:rsidR="00D728CD" w:rsidRPr="00014D12">
        <w:rPr>
          <w:rFonts w:ascii="Salzburg Serial" w:hAnsi="Salzburg Serial"/>
          <w:sz w:val="20"/>
          <w:szCs w:val="20"/>
          <w:lang w:val="en-US"/>
        </w:rPr>
        <w:t>ntegritas</w:t>
      </w:r>
      <w:proofErr w:type="spellEnd"/>
      <w:r w:rsidR="00D728CD" w:rsidRPr="00014D12">
        <w:rPr>
          <w:rFonts w:ascii="Salzburg Serial" w:hAnsi="Salzburg Serial"/>
          <w:sz w:val="20"/>
          <w:szCs w:val="20"/>
          <w:lang w:val="en-US"/>
        </w:rPr>
        <w:t xml:space="preserve"> Bookkeeping Services</w:t>
      </w:r>
    </w:p>
    <w:p w14:paraId="66EF906E" w14:textId="77777777" w:rsidR="00014D12" w:rsidRPr="00014D12" w:rsidRDefault="00014D12" w:rsidP="00014D12">
      <w:pPr>
        <w:rPr>
          <w:rFonts w:ascii="Salzburg Serial" w:hAnsi="Salzburg Serial"/>
          <w:sz w:val="20"/>
          <w:szCs w:val="20"/>
          <w:lang w:val="en-US"/>
        </w:rPr>
      </w:pPr>
    </w:p>
    <w:p w14:paraId="73574769" w14:textId="77777777" w:rsidR="00014D12" w:rsidRDefault="00014D12" w:rsidP="00014D12">
      <w:pPr>
        <w:rPr>
          <w:rFonts w:ascii="Salzburg Serial" w:hAnsi="Salzburg Serial"/>
          <w:sz w:val="20"/>
          <w:szCs w:val="20"/>
          <w:lang w:val="en-US"/>
        </w:rPr>
      </w:pPr>
    </w:p>
    <w:p w14:paraId="3080F1C9" w14:textId="77777777" w:rsidR="00014D12" w:rsidRPr="00014D12" w:rsidRDefault="00014D12" w:rsidP="00014D12">
      <w:pPr>
        <w:rPr>
          <w:rFonts w:ascii="Salzburg Serial" w:hAnsi="Salzburg Serial"/>
          <w:sz w:val="20"/>
          <w:szCs w:val="20"/>
          <w:lang w:val="en-US"/>
        </w:rPr>
      </w:pPr>
    </w:p>
    <w:sectPr w:rsidR="00014D12" w:rsidRPr="00014D12" w:rsidSect="00D728CD">
      <w:footerReference w:type="default" r:id="rId8"/>
      <w:pgSz w:w="11906" w:h="16838"/>
      <w:pgMar w:top="567"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95EA1" w14:textId="77777777" w:rsidR="00B6457B" w:rsidRDefault="00B6457B" w:rsidP="00D728CD">
      <w:pPr>
        <w:spacing w:after="0" w:line="240" w:lineRule="auto"/>
      </w:pPr>
      <w:r>
        <w:separator/>
      </w:r>
    </w:p>
  </w:endnote>
  <w:endnote w:type="continuationSeparator" w:id="0">
    <w:p w14:paraId="6F456E02" w14:textId="77777777" w:rsidR="00B6457B" w:rsidRDefault="00B6457B" w:rsidP="00D7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alzburg Serial">
    <w:panose1 w:val="02000000000000000000"/>
    <w:charset w:val="00"/>
    <w:family w:val="modern"/>
    <w:notTrueType/>
    <w:pitch w:val="variable"/>
    <w:sig w:usb0="800000AF" w:usb1="1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C8267" w14:textId="77777777" w:rsidR="00014D12" w:rsidRPr="00014D12" w:rsidRDefault="00014D12">
    <w:pPr>
      <w:pStyle w:val="Footer"/>
      <w:jc w:val="center"/>
      <w:rPr>
        <w:caps/>
        <w:color w:val="156082" w:themeColor="accent1"/>
        <w:sz w:val="20"/>
        <w:szCs w:val="20"/>
      </w:rPr>
    </w:pPr>
    <w:r w:rsidRPr="00014D12">
      <w:rPr>
        <w:caps/>
        <w:color w:val="156082" w:themeColor="accent1"/>
        <w:sz w:val="20"/>
        <w:szCs w:val="20"/>
      </w:rPr>
      <w:t>Integritas bookkeeping services</w:t>
    </w:r>
  </w:p>
  <w:p w14:paraId="71610700" w14:textId="101055EC" w:rsidR="00D728CD" w:rsidRPr="00014D12" w:rsidRDefault="00014D12" w:rsidP="00014D12">
    <w:pPr>
      <w:pStyle w:val="Footer"/>
      <w:jc w:val="center"/>
      <w:rPr>
        <w:caps/>
        <w:color w:val="156082" w:themeColor="accent1"/>
        <w:sz w:val="20"/>
        <w:szCs w:val="20"/>
      </w:rPr>
    </w:pPr>
    <w:r w:rsidRPr="00014D12">
      <w:rPr>
        <w:caps/>
        <w:color w:val="156082" w:themeColor="accent1"/>
        <w:sz w:val="20"/>
        <w:szCs w:val="20"/>
      </w:rPr>
      <w:t>Lv1, 75 Moreland street footscray vic 3011</w:t>
    </w:r>
  </w:p>
  <w:p w14:paraId="367F1DF3" w14:textId="4A8CF59C" w:rsidR="00014D12" w:rsidRPr="00014D12" w:rsidRDefault="00014D12" w:rsidP="00014D12">
    <w:pPr>
      <w:pStyle w:val="Footer"/>
      <w:jc w:val="center"/>
      <w:rPr>
        <w:sz w:val="20"/>
        <w:szCs w:val="20"/>
      </w:rPr>
    </w:pPr>
    <w:r w:rsidRPr="00014D12">
      <w:rPr>
        <w:caps/>
        <w:color w:val="156082" w:themeColor="accent1"/>
        <w:sz w:val="20"/>
        <w:szCs w:val="20"/>
      </w:rPr>
      <w:t>Phone 1300 829 825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237A4" w14:textId="77777777" w:rsidR="00B6457B" w:rsidRDefault="00B6457B" w:rsidP="00D728CD">
      <w:pPr>
        <w:spacing w:after="0" w:line="240" w:lineRule="auto"/>
      </w:pPr>
      <w:r>
        <w:separator/>
      </w:r>
    </w:p>
  </w:footnote>
  <w:footnote w:type="continuationSeparator" w:id="0">
    <w:p w14:paraId="77140C3D" w14:textId="77777777" w:rsidR="00B6457B" w:rsidRDefault="00B6457B" w:rsidP="00D728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F2"/>
    <w:rsid w:val="00014D12"/>
    <w:rsid w:val="001546A0"/>
    <w:rsid w:val="00483664"/>
    <w:rsid w:val="00577085"/>
    <w:rsid w:val="00866B68"/>
    <w:rsid w:val="00B6457B"/>
    <w:rsid w:val="00B667BF"/>
    <w:rsid w:val="00CA70F2"/>
    <w:rsid w:val="00D728CD"/>
    <w:rsid w:val="00FB55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D90D"/>
  <w15:chartTrackingRefBased/>
  <w15:docId w15:val="{6A71239F-5AE2-4702-BED4-8BB7A561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0F2"/>
    <w:rPr>
      <w:rFonts w:eastAsiaTheme="majorEastAsia" w:cstheme="majorBidi"/>
      <w:color w:val="272727" w:themeColor="text1" w:themeTint="D8"/>
    </w:rPr>
  </w:style>
  <w:style w:type="paragraph" w:styleId="Title">
    <w:name w:val="Title"/>
    <w:basedOn w:val="Normal"/>
    <w:next w:val="Normal"/>
    <w:link w:val="TitleChar"/>
    <w:uiPriority w:val="10"/>
    <w:qFormat/>
    <w:rsid w:val="00CA7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0F2"/>
    <w:pPr>
      <w:spacing w:before="160"/>
      <w:jc w:val="center"/>
    </w:pPr>
    <w:rPr>
      <w:i/>
      <w:iCs/>
      <w:color w:val="404040" w:themeColor="text1" w:themeTint="BF"/>
    </w:rPr>
  </w:style>
  <w:style w:type="character" w:customStyle="1" w:styleId="QuoteChar">
    <w:name w:val="Quote Char"/>
    <w:basedOn w:val="DefaultParagraphFont"/>
    <w:link w:val="Quote"/>
    <w:uiPriority w:val="29"/>
    <w:rsid w:val="00CA70F2"/>
    <w:rPr>
      <w:i/>
      <w:iCs/>
      <w:color w:val="404040" w:themeColor="text1" w:themeTint="BF"/>
    </w:rPr>
  </w:style>
  <w:style w:type="paragraph" w:styleId="ListParagraph">
    <w:name w:val="List Paragraph"/>
    <w:basedOn w:val="Normal"/>
    <w:uiPriority w:val="34"/>
    <w:qFormat/>
    <w:rsid w:val="00CA70F2"/>
    <w:pPr>
      <w:ind w:left="720"/>
      <w:contextualSpacing/>
    </w:pPr>
  </w:style>
  <w:style w:type="character" w:styleId="IntenseEmphasis">
    <w:name w:val="Intense Emphasis"/>
    <w:basedOn w:val="DefaultParagraphFont"/>
    <w:uiPriority w:val="21"/>
    <w:qFormat/>
    <w:rsid w:val="00CA70F2"/>
    <w:rPr>
      <w:i/>
      <w:iCs/>
      <w:color w:val="0F4761" w:themeColor="accent1" w:themeShade="BF"/>
    </w:rPr>
  </w:style>
  <w:style w:type="paragraph" w:styleId="IntenseQuote">
    <w:name w:val="Intense Quote"/>
    <w:basedOn w:val="Normal"/>
    <w:next w:val="Normal"/>
    <w:link w:val="IntenseQuoteChar"/>
    <w:uiPriority w:val="30"/>
    <w:qFormat/>
    <w:rsid w:val="00CA7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0F2"/>
    <w:rPr>
      <w:i/>
      <w:iCs/>
      <w:color w:val="0F4761" w:themeColor="accent1" w:themeShade="BF"/>
    </w:rPr>
  </w:style>
  <w:style w:type="character" w:styleId="IntenseReference">
    <w:name w:val="Intense Reference"/>
    <w:basedOn w:val="DefaultParagraphFont"/>
    <w:uiPriority w:val="32"/>
    <w:qFormat/>
    <w:rsid w:val="00CA70F2"/>
    <w:rPr>
      <w:b/>
      <w:bCs/>
      <w:smallCaps/>
      <w:color w:val="0F4761" w:themeColor="accent1" w:themeShade="BF"/>
      <w:spacing w:val="5"/>
    </w:rPr>
  </w:style>
  <w:style w:type="table" w:styleId="TableGrid">
    <w:name w:val="Table Grid"/>
    <w:basedOn w:val="TableNormal"/>
    <w:uiPriority w:val="39"/>
    <w:rsid w:val="00CA7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1584128334392478598msolistparagraph">
    <w:name w:val="m_-1584128334392478598msolistparagraph"/>
    <w:basedOn w:val="Normal"/>
    <w:rsid w:val="00483664"/>
    <w:pPr>
      <w:spacing w:before="100" w:beforeAutospacing="1" w:after="100" w:afterAutospacing="1" w:line="240" w:lineRule="auto"/>
    </w:pPr>
    <w:rPr>
      <w:rFonts w:ascii="Aptos" w:hAnsi="Aptos" w:cs="Aptos"/>
      <w:kern w:val="0"/>
      <w:lang w:eastAsia="en-AU"/>
      <w14:ligatures w14:val="none"/>
    </w:rPr>
  </w:style>
  <w:style w:type="paragraph" w:styleId="Header">
    <w:name w:val="header"/>
    <w:basedOn w:val="Normal"/>
    <w:link w:val="HeaderChar"/>
    <w:uiPriority w:val="99"/>
    <w:unhideWhenUsed/>
    <w:rsid w:val="00D72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8CD"/>
  </w:style>
  <w:style w:type="paragraph" w:styleId="Footer">
    <w:name w:val="footer"/>
    <w:basedOn w:val="Normal"/>
    <w:link w:val="FooterChar"/>
    <w:uiPriority w:val="99"/>
    <w:unhideWhenUsed/>
    <w:rsid w:val="00D72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98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7B291-31A3-4B29-9203-443A8266F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Greco</dc:creator>
  <cp:keywords/>
  <dc:description/>
  <cp:lastModifiedBy>Sonia Greco</cp:lastModifiedBy>
  <cp:revision>3</cp:revision>
  <cp:lastPrinted>2024-08-06T22:44:00Z</cp:lastPrinted>
  <dcterms:created xsi:type="dcterms:W3CDTF">2024-08-06T00:06:00Z</dcterms:created>
  <dcterms:modified xsi:type="dcterms:W3CDTF">2024-08-07T00:17:00Z</dcterms:modified>
</cp:coreProperties>
</file>