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8043D" w14:textId="77777777" w:rsidR="00AF2BAA" w:rsidRPr="000F2023" w:rsidRDefault="00AF2BAA" w:rsidP="00AF2BAA">
      <w:pPr>
        <w:pStyle w:val="Default"/>
        <w:rPr>
          <w:rFonts w:ascii="Montserrat" w:hAnsi="Montserrat"/>
        </w:rPr>
      </w:pPr>
    </w:p>
    <w:p w14:paraId="37F770A7" w14:textId="541CF7BA" w:rsidR="00AF2BAA" w:rsidRPr="00BD02A9" w:rsidRDefault="00AF2BAA" w:rsidP="00AF2BAA">
      <w:pPr>
        <w:pStyle w:val="Default"/>
        <w:rPr>
          <w:rFonts w:ascii="Arial" w:hAnsi="Arial" w:cs="Arial"/>
          <w:sz w:val="22"/>
          <w:szCs w:val="22"/>
        </w:rPr>
      </w:pPr>
      <w:r w:rsidRPr="00BD02A9">
        <w:rPr>
          <w:rFonts w:ascii="Arial" w:hAnsi="Arial" w:cs="Arial"/>
          <w:sz w:val="22"/>
          <w:szCs w:val="22"/>
        </w:rPr>
        <w:t xml:space="preserve">28 October 2024 </w:t>
      </w:r>
    </w:p>
    <w:p w14:paraId="2AA97E00" w14:textId="77777777" w:rsidR="00AF2BAA" w:rsidRPr="00BD02A9" w:rsidRDefault="00AF2BAA" w:rsidP="00AF2BAA">
      <w:pPr>
        <w:pStyle w:val="Default"/>
        <w:rPr>
          <w:rFonts w:ascii="Arial" w:hAnsi="Arial" w:cs="Arial"/>
          <w:sz w:val="22"/>
          <w:szCs w:val="22"/>
        </w:rPr>
      </w:pPr>
      <w:r w:rsidRPr="00BD02A9">
        <w:rPr>
          <w:rFonts w:ascii="Arial" w:hAnsi="Arial" w:cs="Arial"/>
          <w:sz w:val="22"/>
          <w:szCs w:val="22"/>
        </w:rPr>
        <w:t xml:space="preserve">Australian Taxation Office </w:t>
      </w:r>
    </w:p>
    <w:p w14:paraId="43539CD8" w14:textId="193DC0A8" w:rsidR="00AF2BAA" w:rsidRPr="00BD02A9" w:rsidRDefault="00AF2BAA" w:rsidP="00AF2BAA">
      <w:pPr>
        <w:pStyle w:val="Default"/>
        <w:rPr>
          <w:rFonts w:ascii="Arial" w:hAnsi="Arial" w:cs="Arial"/>
          <w:sz w:val="22"/>
          <w:szCs w:val="22"/>
        </w:rPr>
      </w:pPr>
      <w:r w:rsidRPr="00BD02A9">
        <w:rPr>
          <w:rFonts w:ascii="Arial" w:hAnsi="Arial" w:cs="Arial"/>
          <w:sz w:val="22"/>
          <w:szCs w:val="22"/>
        </w:rPr>
        <w:t xml:space="preserve">GPO Box 3335 </w:t>
      </w:r>
    </w:p>
    <w:p w14:paraId="79B4D1F2" w14:textId="6D3752DB" w:rsidR="00AF2BAA" w:rsidRPr="00BD02A9" w:rsidRDefault="00AF2BAA" w:rsidP="00AF2BAA">
      <w:pPr>
        <w:pStyle w:val="Default"/>
        <w:rPr>
          <w:rFonts w:ascii="Arial" w:hAnsi="Arial" w:cs="Arial"/>
          <w:sz w:val="22"/>
          <w:szCs w:val="22"/>
        </w:rPr>
      </w:pPr>
      <w:r w:rsidRPr="00BD02A9">
        <w:rPr>
          <w:rFonts w:ascii="Arial" w:hAnsi="Arial" w:cs="Arial"/>
          <w:sz w:val="22"/>
          <w:szCs w:val="22"/>
        </w:rPr>
        <w:t xml:space="preserve">MELBOURNE VIC 3001 </w:t>
      </w:r>
    </w:p>
    <w:p w14:paraId="38FE22C2" w14:textId="77777777" w:rsidR="00AF2BAA" w:rsidRPr="00BD02A9" w:rsidRDefault="00AF2BAA" w:rsidP="00AF2BAA">
      <w:pPr>
        <w:pStyle w:val="Default"/>
        <w:rPr>
          <w:rFonts w:ascii="Arial" w:hAnsi="Arial" w:cs="Arial"/>
          <w:b/>
          <w:bCs/>
          <w:sz w:val="22"/>
          <w:szCs w:val="22"/>
        </w:rPr>
      </w:pPr>
    </w:p>
    <w:p w14:paraId="28E73C0F" w14:textId="11AA6394" w:rsidR="00AF2BAA" w:rsidRPr="00BD02A9" w:rsidRDefault="00A03958" w:rsidP="00AF2BAA">
      <w:pPr>
        <w:pStyle w:val="Default"/>
        <w:rPr>
          <w:rFonts w:ascii="Arial" w:hAnsi="Arial" w:cs="Arial"/>
          <w:sz w:val="22"/>
          <w:szCs w:val="22"/>
        </w:rPr>
      </w:pPr>
      <w:r>
        <w:rPr>
          <w:rFonts w:ascii="Arial" w:hAnsi="Arial" w:cs="Arial"/>
          <w:b/>
          <w:bCs/>
          <w:sz w:val="22"/>
          <w:szCs w:val="22"/>
        </w:rPr>
        <w:t xml:space="preserve">Informal Review Request: </w:t>
      </w:r>
      <w:r w:rsidR="00AF2BAA" w:rsidRPr="00BD02A9">
        <w:rPr>
          <w:rFonts w:ascii="Arial" w:hAnsi="Arial" w:cs="Arial"/>
          <w:b/>
          <w:bCs/>
          <w:sz w:val="22"/>
          <w:szCs w:val="22"/>
        </w:rPr>
        <w:t xml:space="preserve">Request for Remission of General Interest Charge (GIC) </w:t>
      </w:r>
      <w:r w:rsidR="00EA3FEE" w:rsidRPr="00BD02A9">
        <w:rPr>
          <w:rFonts w:ascii="Arial" w:hAnsi="Arial" w:cs="Arial"/>
          <w:b/>
          <w:bCs/>
          <w:sz w:val="22"/>
          <w:szCs w:val="22"/>
        </w:rPr>
        <w:t>from 1 July 2020</w:t>
      </w:r>
    </w:p>
    <w:p w14:paraId="22B9E0B4" w14:textId="77777777" w:rsidR="00AF2BAA" w:rsidRPr="00BD02A9" w:rsidRDefault="00AF2BAA" w:rsidP="00AF2BAA">
      <w:pPr>
        <w:pStyle w:val="Default"/>
        <w:rPr>
          <w:rFonts w:ascii="Arial" w:hAnsi="Arial" w:cs="Arial"/>
          <w:b/>
          <w:bCs/>
          <w:sz w:val="22"/>
          <w:szCs w:val="22"/>
        </w:rPr>
      </w:pPr>
    </w:p>
    <w:p w14:paraId="49F7CAC3" w14:textId="2D398721" w:rsidR="00AF2BAA" w:rsidRPr="00BD02A9" w:rsidRDefault="00AF2BAA" w:rsidP="00AF2BAA">
      <w:pPr>
        <w:pStyle w:val="Default"/>
        <w:rPr>
          <w:rFonts w:ascii="Arial" w:hAnsi="Arial" w:cs="Arial"/>
          <w:sz w:val="22"/>
          <w:szCs w:val="22"/>
        </w:rPr>
      </w:pPr>
      <w:r w:rsidRPr="00BD02A9">
        <w:rPr>
          <w:rFonts w:ascii="Arial" w:hAnsi="Arial" w:cs="Arial"/>
          <w:b/>
          <w:bCs/>
          <w:sz w:val="22"/>
          <w:szCs w:val="22"/>
        </w:rPr>
        <w:t xml:space="preserve">Taxpayer: </w:t>
      </w:r>
      <w:r w:rsidR="001E191E">
        <w:rPr>
          <w:rFonts w:ascii="Arial" w:hAnsi="Arial" w:cs="Arial"/>
          <w:b/>
          <w:bCs/>
          <w:sz w:val="22"/>
          <w:szCs w:val="22"/>
        </w:rPr>
        <w:t>XXX</w:t>
      </w:r>
      <w:r w:rsidRPr="00BD02A9">
        <w:rPr>
          <w:rFonts w:ascii="Arial" w:hAnsi="Arial" w:cs="Arial"/>
          <w:b/>
          <w:bCs/>
          <w:sz w:val="22"/>
          <w:szCs w:val="22"/>
        </w:rPr>
        <w:t xml:space="preserve"> Pty Ltd ABN </w:t>
      </w:r>
      <w:r w:rsidR="001E191E">
        <w:rPr>
          <w:rFonts w:ascii="Arial" w:hAnsi="Arial" w:cs="Arial"/>
          <w:b/>
          <w:bCs/>
          <w:sz w:val="22"/>
          <w:szCs w:val="22"/>
        </w:rPr>
        <w:t xml:space="preserve">xx xxx </w:t>
      </w:r>
      <w:proofErr w:type="spellStart"/>
      <w:r w:rsidR="001E191E">
        <w:rPr>
          <w:rFonts w:ascii="Arial" w:hAnsi="Arial" w:cs="Arial"/>
          <w:b/>
          <w:bCs/>
          <w:sz w:val="22"/>
          <w:szCs w:val="22"/>
        </w:rPr>
        <w:t>xxx</w:t>
      </w:r>
      <w:proofErr w:type="spellEnd"/>
      <w:r w:rsidR="001E191E">
        <w:rPr>
          <w:rFonts w:ascii="Arial" w:hAnsi="Arial" w:cs="Arial"/>
          <w:b/>
          <w:bCs/>
          <w:sz w:val="22"/>
          <w:szCs w:val="22"/>
        </w:rPr>
        <w:t xml:space="preserve"> </w:t>
      </w:r>
      <w:proofErr w:type="spellStart"/>
      <w:r w:rsidR="001E191E">
        <w:rPr>
          <w:rFonts w:ascii="Arial" w:hAnsi="Arial" w:cs="Arial"/>
          <w:b/>
          <w:bCs/>
          <w:sz w:val="22"/>
          <w:szCs w:val="22"/>
        </w:rPr>
        <w:t>xxx</w:t>
      </w:r>
      <w:proofErr w:type="spellEnd"/>
      <w:r w:rsidRPr="00BD02A9">
        <w:rPr>
          <w:rFonts w:ascii="Arial" w:hAnsi="Arial" w:cs="Arial"/>
          <w:b/>
          <w:bCs/>
          <w:sz w:val="22"/>
          <w:szCs w:val="22"/>
        </w:rPr>
        <w:t xml:space="preserve"> </w:t>
      </w:r>
    </w:p>
    <w:p w14:paraId="1E500A37" w14:textId="77777777" w:rsidR="000F2023" w:rsidRPr="00BD02A9" w:rsidRDefault="000F2023" w:rsidP="00580081">
      <w:pPr>
        <w:pStyle w:val="Default"/>
        <w:rPr>
          <w:rFonts w:ascii="Arial" w:hAnsi="Arial" w:cs="Arial"/>
          <w:sz w:val="22"/>
          <w:szCs w:val="22"/>
        </w:rPr>
      </w:pPr>
    </w:p>
    <w:p w14:paraId="2C0F084D" w14:textId="7629D627" w:rsidR="00A03958" w:rsidRDefault="00A03958" w:rsidP="00580081">
      <w:pPr>
        <w:pStyle w:val="Default"/>
        <w:rPr>
          <w:rFonts w:ascii="Arial" w:hAnsi="Arial" w:cs="Arial"/>
          <w:sz w:val="22"/>
          <w:szCs w:val="22"/>
        </w:rPr>
      </w:pPr>
      <w:r>
        <w:rPr>
          <w:rFonts w:ascii="Arial" w:hAnsi="Arial" w:cs="Arial"/>
          <w:sz w:val="22"/>
          <w:szCs w:val="22"/>
        </w:rPr>
        <w:t xml:space="preserve">Respectfully, we request an Informal Review of the decision not to allow full remission of GIC </w:t>
      </w:r>
      <w:r w:rsidR="00DD3012">
        <w:rPr>
          <w:rFonts w:ascii="Arial" w:hAnsi="Arial" w:cs="Arial"/>
          <w:sz w:val="22"/>
          <w:szCs w:val="22"/>
        </w:rPr>
        <w:t xml:space="preserve">(Reference Number: </w:t>
      </w:r>
      <w:proofErr w:type="spellStart"/>
      <w:r w:rsidR="00E24EA4">
        <w:rPr>
          <w:rFonts w:ascii="Arial" w:hAnsi="Arial" w:cs="Arial"/>
          <w:sz w:val="22"/>
          <w:szCs w:val="22"/>
        </w:rPr>
        <w:t>xxxx</w:t>
      </w:r>
      <w:proofErr w:type="spellEnd"/>
      <w:r w:rsidR="00E24EA4">
        <w:rPr>
          <w:rFonts w:ascii="Arial" w:hAnsi="Arial" w:cs="Arial"/>
          <w:sz w:val="22"/>
          <w:szCs w:val="22"/>
        </w:rPr>
        <w:t xml:space="preserve"> </w:t>
      </w:r>
      <w:proofErr w:type="spellStart"/>
      <w:r w:rsidR="00E24EA4">
        <w:rPr>
          <w:rFonts w:ascii="Arial" w:hAnsi="Arial" w:cs="Arial"/>
          <w:sz w:val="22"/>
          <w:szCs w:val="22"/>
        </w:rPr>
        <w:t>xxxx</w:t>
      </w:r>
      <w:proofErr w:type="spellEnd"/>
      <w:r w:rsidR="00E24EA4">
        <w:rPr>
          <w:rFonts w:ascii="Arial" w:hAnsi="Arial" w:cs="Arial"/>
          <w:sz w:val="22"/>
          <w:szCs w:val="22"/>
        </w:rPr>
        <w:t xml:space="preserve"> </w:t>
      </w:r>
      <w:proofErr w:type="spellStart"/>
      <w:r w:rsidR="00E24EA4">
        <w:rPr>
          <w:rFonts w:ascii="Arial" w:hAnsi="Arial" w:cs="Arial"/>
          <w:sz w:val="22"/>
          <w:szCs w:val="22"/>
        </w:rPr>
        <w:t>xxxxx</w:t>
      </w:r>
      <w:proofErr w:type="spellEnd"/>
      <w:r w:rsidR="00DD3012">
        <w:rPr>
          <w:rFonts w:ascii="Arial" w:hAnsi="Arial" w:cs="Arial"/>
          <w:sz w:val="22"/>
          <w:szCs w:val="22"/>
        </w:rPr>
        <w:t>), dated on 4 December 2024.</w:t>
      </w:r>
    </w:p>
    <w:p w14:paraId="354AB777" w14:textId="77777777" w:rsidR="00A03958" w:rsidRDefault="00A03958" w:rsidP="00580081">
      <w:pPr>
        <w:pStyle w:val="Default"/>
        <w:rPr>
          <w:rFonts w:ascii="Arial" w:hAnsi="Arial" w:cs="Arial"/>
          <w:sz w:val="22"/>
          <w:szCs w:val="22"/>
        </w:rPr>
      </w:pPr>
    </w:p>
    <w:p w14:paraId="3FB4ECBE" w14:textId="7083CD5B" w:rsidR="00DD3012" w:rsidRDefault="00DD3012" w:rsidP="00580081">
      <w:pPr>
        <w:pStyle w:val="Default"/>
        <w:rPr>
          <w:rFonts w:ascii="Arial" w:hAnsi="Arial" w:cs="Arial"/>
          <w:sz w:val="22"/>
          <w:szCs w:val="22"/>
        </w:rPr>
      </w:pPr>
      <w:r>
        <w:rPr>
          <w:rFonts w:ascii="Arial" w:hAnsi="Arial" w:cs="Arial"/>
          <w:sz w:val="22"/>
          <w:szCs w:val="22"/>
        </w:rPr>
        <w:t xml:space="preserve">In support of this request, we have added a new general ground of appeal, concerning remission of penalty and interest decisions, pursuant to paragraph 3 of PS LA 2007/4: </w:t>
      </w:r>
    </w:p>
    <w:p w14:paraId="447B3EEB" w14:textId="513C6EDC" w:rsidR="00DD3012" w:rsidRDefault="00DD3012" w:rsidP="00580081">
      <w:pPr>
        <w:pStyle w:val="Default"/>
        <w:rPr>
          <w:rFonts w:ascii="Arial" w:hAnsi="Arial" w:cs="Arial"/>
          <w:sz w:val="22"/>
          <w:szCs w:val="22"/>
        </w:rPr>
      </w:pPr>
      <w:r>
        <w:rPr>
          <w:rStyle w:val="Strong"/>
          <w:rFonts w:ascii="Arial" w:hAnsi="Arial" w:cs="Arial"/>
          <w:color w:val="212529"/>
          <w:sz w:val="21"/>
          <w:szCs w:val="21"/>
          <w:shd w:val="clear" w:color="auto" w:fill="FFFFFF"/>
        </w:rPr>
        <w:t>Remission of penalty for failure to comply with GST registration obligations</w:t>
      </w:r>
      <w:r w:rsidR="002C79AB">
        <w:rPr>
          <w:rStyle w:val="Strong"/>
          <w:rFonts w:ascii="Arial" w:hAnsi="Arial" w:cs="Arial"/>
          <w:color w:val="212529"/>
          <w:sz w:val="21"/>
          <w:szCs w:val="21"/>
          <w:shd w:val="clear" w:color="auto" w:fill="FFFFFF"/>
        </w:rPr>
        <w:t>”</w:t>
      </w:r>
      <w:r>
        <w:rPr>
          <w:rStyle w:val="Strong"/>
          <w:rFonts w:ascii="Arial" w:hAnsi="Arial" w:cs="Arial"/>
          <w:color w:val="212529"/>
          <w:sz w:val="21"/>
          <w:szCs w:val="21"/>
          <w:shd w:val="clear" w:color="auto" w:fill="FFFFFF"/>
        </w:rPr>
        <w:t>, subject to the “general principles for ATO decision making</w:t>
      </w:r>
      <w:r w:rsidR="00F34513">
        <w:rPr>
          <w:rStyle w:val="Strong"/>
          <w:rFonts w:ascii="Arial" w:hAnsi="Arial" w:cs="Arial"/>
          <w:color w:val="212529"/>
          <w:sz w:val="21"/>
          <w:szCs w:val="21"/>
          <w:shd w:val="clear" w:color="auto" w:fill="FFFFFF"/>
        </w:rPr>
        <w:t>”</w:t>
      </w:r>
      <w:r>
        <w:rPr>
          <w:rStyle w:val="Strong"/>
          <w:rFonts w:ascii="Arial" w:hAnsi="Arial" w:cs="Arial"/>
          <w:color w:val="212529"/>
          <w:sz w:val="21"/>
          <w:szCs w:val="21"/>
          <w:shd w:val="clear" w:color="auto" w:fill="FFFFFF"/>
        </w:rPr>
        <w:t xml:space="preserve"> and the “good decision-making model”. </w:t>
      </w:r>
      <w:r w:rsidR="002C79AB">
        <w:rPr>
          <w:rStyle w:val="Strong"/>
          <w:rFonts w:ascii="Arial" w:hAnsi="Arial" w:cs="Arial"/>
          <w:color w:val="212529"/>
          <w:sz w:val="21"/>
          <w:szCs w:val="21"/>
          <w:shd w:val="clear" w:color="auto" w:fill="FFFFFF"/>
        </w:rPr>
        <w:t>In summary, t</w:t>
      </w:r>
      <w:r>
        <w:rPr>
          <w:rStyle w:val="Strong"/>
          <w:rFonts w:ascii="Arial" w:hAnsi="Arial" w:cs="Arial"/>
          <w:color w:val="212529"/>
          <w:sz w:val="21"/>
          <w:szCs w:val="21"/>
          <w:shd w:val="clear" w:color="auto" w:fill="FFFFFF"/>
        </w:rPr>
        <w:t xml:space="preserve">he Commissioner of Taxation </w:t>
      </w:r>
      <w:r w:rsidR="008F19E7">
        <w:rPr>
          <w:rStyle w:val="Strong"/>
          <w:rFonts w:ascii="Arial" w:hAnsi="Arial" w:cs="Arial"/>
          <w:color w:val="212529"/>
          <w:sz w:val="21"/>
          <w:szCs w:val="21"/>
          <w:shd w:val="clear" w:color="auto" w:fill="FFFFFF"/>
        </w:rPr>
        <w:t xml:space="preserve">protects </w:t>
      </w:r>
      <w:r w:rsidR="002C79AB">
        <w:rPr>
          <w:rStyle w:val="Strong"/>
          <w:rFonts w:ascii="Arial" w:hAnsi="Arial" w:cs="Arial"/>
          <w:color w:val="212529"/>
          <w:sz w:val="21"/>
          <w:szCs w:val="21"/>
          <w:shd w:val="clear" w:color="auto" w:fill="FFFFFF"/>
        </w:rPr>
        <w:t xml:space="preserve">the taxpayer from incurring penalties and interest in these matters, when the Commissioner </w:t>
      </w:r>
      <w:r w:rsidR="00BB5B28">
        <w:rPr>
          <w:rStyle w:val="Strong"/>
          <w:rFonts w:ascii="Arial" w:hAnsi="Arial" w:cs="Arial"/>
          <w:color w:val="212529"/>
          <w:sz w:val="21"/>
          <w:szCs w:val="21"/>
          <w:shd w:val="clear" w:color="auto" w:fill="FFFFFF"/>
        </w:rPr>
        <w:t xml:space="preserve">of Taxation </w:t>
      </w:r>
      <w:r w:rsidR="002C79AB">
        <w:rPr>
          <w:rStyle w:val="Strong"/>
          <w:rFonts w:ascii="Arial" w:hAnsi="Arial" w:cs="Arial"/>
          <w:color w:val="212529"/>
          <w:sz w:val="21"/>
          <w:szCs w:val="21"/>
          <w:shd w:val="clear" w:color="auto" w:fill="FFFFFF"/>
        </w:rPr>
        <w:t>has issued written guidance in the form of a PS LA.</w:t>
      </w:r>
    </w:p>
    <w:p w14:paraId="3E23F3DB" w14:textId="77777777" w:rsidR="00DD3012" w:rsidRDefault="00DD3012" w:rsidP="00580081">
      <w:pPr>
        <w:pStyle w:val="Default"/>
        <w:rPr>
          <w:rFonts w:ascii="Arial" w:hAnsi="Arial" w:cs="Arial"/>
          <w:sz w:val="22"/>
          <w:szCs w:val="22"/>
        </w:rPr>
      </w:pPr>
    </w:p>
    <w:p w14:paraId="32144652" w14:textId="5B3B1741" w:rsidR="00580081" w:rsidRPr="00BD02A9" w:rsidRDefault="00580081" w:rsidP="00580081">
      <w:pPr>
        <w:pStyle w:val="Default"/>
        <w:rPr>
          <w:rFonts w:ascii="Arial" w:hAnsi="Arial" w:cs="Arial"/>
          <w:sz w:val="22"/>
          <w:szCs w:val="22"/>
        </w:rPr>
      </w:pPr>
      <w:r w:rsidRPr="00BD02A9">
        <w:rPr>
          <w:rFonts w:ascii="Arial" w:hAnsi="Arial" w:cs="Arial"/>
          <w:sz w:val="22"/>
          <w:szCs w:val="22"/>
        </w:rPr>
        <w:t xml:space="preserve">The </w:t>
      </w:r>
      <w:r w:rsidR="00E24EA4">
        <w:rPr>
          <w:rFonts w:ascii="Arial" w:hAnsi="Arial" w:cs="Arial"/>
          <w:sz w:val="22"/>
          <w:szCs w:val="22"/>
        </w:rPr>
        <w:t>XXX</w:t>
      </w:r>
      <w:r w:rsidR="002923D9">
        <w:rPr>
          <w:rFonts w:ascii="Arial" w:hAnsi="Arial" w:cs="Arial"/>
          <w:sz w:val="22"/>
          <w:szCs w:val="22"/>
        </w:rPr>
        <w:t xml:space="preserve"> </w:t>
      </w:r>
      <w:r w:rsidRPr="00BD02A9">
        <w:rPr>
          <w:rFonts w:ascii="Arial" w:hAnsi="Arial" w:cs="Arial"/>
          <w:sz w:val="22"/>
          <w:szCs w:val="22"/>
        </w:rPr>
        <w:t xml:space="preserve">Pty Ltd is a small </w:t>
      </w:r>
      <w:proofErr w:type="gramStart"/>
      <w:r w:rsidRPr="00BD02A9">
        <w:rPr>
          <w:rFonts w:ascii="Arial" w:hAnsi="Arial" w:cs="Arial"/>
          <w:sz w:val="22"/>
          <w:szCs w:val="22"/>
        </w:rPr>
        <w:t>business</w:t>
      </w:r>
      <w:proofErr w:type="gramEnd"/>
      <w:r w:rsidRPr="00BD02A9">
        <w:rPr>
          <w:rFonts w:ascii="Arial" w:hAnsi="Arial" w:cs="Arial"/>
          <w:sz w:val="22"/>
          <w:szCs w:val="22"/>
        </w:rPr>
        <w:t xml:space="preserve"> and its sole director is Ms </w:t>
      </w:r>
      <w:r w:rsidR="00E24EA4">
        <w:rPr>
          <w:rFonts w:ascii="Arial" w:hAnsi="Arial" w:cs="Arial"/>
          <w:sz w:val="22"/>
          <w:szCs w:val="22"/>
        </w:rPr>
        <w:t>xxx</w:t>
      </w:r>
      <w:r w:rsidRPr="00BD02A9">
        <w:rPr>
          <w:rFonts w:ascii="Arial" w:hAnsi="Arial" w:cs="Arial"/>
          <w:sz w:val="22"/>
          <w:szCs w:val="22"/>
        </w:rPr>
        <w:t xml:space="preserve"> </w:t>
      </w:r>
      <w:proofErr w:type="spellStart"/>
      <w:r w:rsidR="00E24EA4">
        <w:rPr>
          <w:rFonts w:ascii="Arial" w:hAnsi="Arial" w:cs="Arial"/>
          <w:sz w:val="22"/>
          <w:szCs w:val="22"/>
        </w:rPr>
        <w:t>xxx</w:t>
      </w:r>
      <w:proofErr w:type="spellEnd"/>
      <w:r w:rsidRPr="00BD02A9">
        <w:rPr>
          <w:rFonts w:ascii="Arial" w:hAnsi="Arial" w:cs="Arial"/>
          <w:sz w:val="22"/>
          <w:szCs w:val="22"/>
        </w:rPr>
        <w:t xml:space="preserve">.  </w:t>
      </w:r>
    </w:p>
    <w:p w14:paraId="68D19EB8" w14:textId="77777777" w:rsidR="00AF2BAA" w:rsidRPr="00BD02A9" w:rsidRDefault="00AF2BAA" w:rsidP="00AF2BAA">
      <w:pPr>
        <w:pStyle w:val="Default"/>
        <w:rPr>
          <w:rFonts w:ascii="Arial" w:hAnsi="Arial" w:cs="Arial"/>
          <w:sz w:val="22"/>
          <w:szCs w:val="22"/>
        </w:rPr>
      </w:pPr>
    </w:p>
    <w:p w14:paraId="579D9E44" w14:textId="732E1EED" w:rsidR="00AF2BAA" w:rsidRPr="00BD02A9" w:rsidRDefault="00AF2BAA" w:rsidP="00AF2BAA">
      <w:pPr>
        <w:pStyle w:val="Default"/>
        <w:rPr>
          <w:rFonts w:ascii="Arial" w:hAnsi="Arial" w:cs="Arial"/>
          <w:i/>
          <w:iCs/>
          <w:sz w:val="22"/>
          <w:szCs w:val="22"/>
        </w:rPr>
      </w:pPr>
      <w:r w:rsidRPr="00BD02A9">
        <w:rPr>
          <w:rFonts w:ascii="Arial" w:hAnsi="Arial" w:cs="Arial"/>
          <w:sz w:val="22"/>
          <w:szCs w:val="22"/>
        </w:rPr>
        <w:t xml:space="preserve">Our understanding </w:t>
      </w:r>
      <w:r w:rsidR="00F8165A" w:rsidRPr="00BD02A9">
        <w:rPr>
          <w:rFonts w:ascii="Arial" w:hAnsi="Arial" w:cs="Arial"/>
          <w:sz w:val="22"/>
          <w:szCs w:val="22"/>
        </w:rPr>
        <w:t xml:space="preserve">is that the </w:t>
      </w:r>
      <w:r w:rsidRPr="00BD02A9">
        <w:rPr>
          <w:rFonts w:ascii="Arial" w:hAnsi="Arial" w:cs="Arial"/>
          <w:sz w:val="22"/>
          <w:szCs w:val="22"/>
        </w:rPr>
        <w:t xml:space="preserve">most relevant ATO citable source for this GIC Remission </w:t>
      </w:r>
      <w:r w:rsidR="00AA65B0" w:rsidRPr="00BD02A9">
        <w:rPr>
          <w:rFonts w:ascii="Arial" w:hAnsi="Arial" w:cs="Arial"/>
          <w:sz w:val="22"/>
          <w:szCs w:val="22"/>
        </w:rPr>
        <w:t>r</w:t>
      </w:r>
      <w:r w:rsidRPr="00BD02A9">
        <w:rPr>
          <w:rFonts w:ascii="Arial" w:hAnsi="Arial" w:cs="Arial"/>
          <w:sz w:val="22"/>
          <w:szCs w:val="22"/>
        </w:rPr>
        <w:t xml:space="preserve">equest matter is LI 2023/27 </w:t>
      </w:r>
      <w:r w:rsidRPr="00BD02A9">
        <w:rPr>
          <w:rFonts w:ascii="Arial" w:hAnsi="Arial" w:cs="Arial"/>
          <w:i/>
          <w:iCs/>
          <w:sz w:val="22"/>
          <w:szCs w:val="22"/>
        </w:rPr>
        <w:t>Taxation Administration (Remedial Power - Remission of Charges and Penalties) Determination 2023</w:t>
      </w:r>
      <w:r w:rsidR="00AA65B0" w:rsidRPr="00BD02A9">
        <w:rPr>
          <w:rFonts w:ascii="Arial" w:hAnsi="Arial" w:cs="Arial"/>
          <w:i/>
          <w:iCs/>
          <w:sz w:val="22"/>
          <w:szCs w:val="22"/>
        </w:rPr>
        <w:t>.</w:t>
      </w:r>
    </w:p>
    <w:p w14:paraId="635B3013" w14:textId="77777777" w:rsidR="00AA65B0" w:rsidRPr="00BD02A9" w:rsidRDefault="00AA65B0" w:rsidP="00AF2BAA">
      <w:pPr>
        <w:pStyle w:val="Default"/>
        <w:rPr>
          <w:rFonts w:ascii="Arial" w:hAnsi="Arial" w:cs="Arial"/>
          <w:sz w:val="22"/>
          <w:szCs w:val="22"/>
        </w:rPr>
      </w:pPr>
    </w:p>
    <w:p w14:paraId="54CD75A3" w14:textId="215DF6AE" w:rsidR="00AF2BAA" w:rsidRPr="00BD02A9" w:rsidRDefault="00AF2BAA" w:rsidP="00AF2BAA">
      <w:pPr>
        <w:pStyle w:val="Default"/>
        <w:rPr>
          <w:rFonts w:ascii="Arial" w:hAnsi="Arial" w:cs="Arial"/>
          <w:sz w:val="22"/>
          <w:szCs w:val="22"/>
        </w:rPr>
      </w:pPr>
      <w:r w:rsidRPr="00BD02A9">
        <w:rPr>
          <w:rFonts w:ascii="Arial" w:hAnsi="Arial" w:cs="Arial"/>
          <w:sz w:val="22"/>
          <w:szCs w:val="22"/>
        </w:rPr>
        <w:t xml:space="preserve">Of particular importance is paragraph 17 of </w:t>
      </w:r>
      <w:r w:rsidR="00AA65B0" w:rsidRPr="00BD02A9">
        <w:rPr>
          <w:rFonts w:ascii="Arial" w:hAnsi="Arial" w:cs="Arial"/>
          <w:sz w:val="22"/>
          <w:szCs w:val="22"/>
        </w:rPr>
        <w:t xml:space="preserve">the Explanatory Statement to </w:t>
      </w:r>
      <w:r w:rsidRPr="00BD02A9">
        <w:rPr>
          <w:rFonts w:ascii="Arial" w:hAnsi="Arial" w:cs="Arial"/>
          <w:sz w:val="22"/>
          <w:szCs w:val="22"/>
        </w:rPr>
        <w:t>L</w:t>
      </w:r>
      <w:r w:rsidR="00AA65B0" w:rsidRPr="00BD02A9">
        <w:rPr>
          <w:rFonts w:ascii="Arial" w:hAnsi="Arial" w:cs="Arial"/>
          <w:sz w:val="22"/>
          <w:szCs w:val="22"/>
        </w:rPr>
        <w:t>I</w:t>
      </w:r>
      <w:r w:rsidRPr="00BD02A9">
        <w:rPr>
          <w:rFonts w:ascii="Arial" w:hAnsi="Arial" w:cs="Arial"/>
          <w:sz w:val="22"/>
          <w:szCs w:val="22"/>
        </w:rPr>
        <w:t xml:space="preserve"> 2023/27, which identifies three specific individual grounds whereby a remission of GIC from a taxpayer should be considered when a taxpayer identifies that one of the three listed grounds enable the Commissioner of Taxation to remit GIC. </w:t>
      </w:r>
    </w:p>
    <w:p w14:paraId="589A3C5A" w14:textId="77777777" w:rsidR="00AA65B0" w:rsidRPr="00BD02A9" w:rsidRDefault="00AA65B0" w:rsidP="00AF2BAA">
      <w:pPr>
        <w:pStyle w:val="Default"/>
        <w:rPr>
          <w:rFonts w:ascii="Arial" w:hAnsi="Arial" w:cs="Arial"/>
          <w:sz w:val="22"/>
          <w:szCs w:val="22"/>
        </w:rPr>
      </w:pPr>
    </w:p>
    <w:p w14:paraId="0C0CAA07" w14:textId="7E9A5503" w:rsidR="00AA65B0" w:rsidRPr="00BD02A9" w:rsidRDefault="00AA65B0" w:rsidP="00AF2BAA">
      <w:pPr>
        <w:pStyle w:val="Default"/>
        <w:rPr>
          <w:rFonts w:ascii="Arial" w:hAnsi="Arial" w:cs="Arial"/>
          <w:i/>
          <w:iCs/>
          <w:sz w:val="22"/>
          <w:szCs w:val="22"/>
        </w:rPr>
      </w:pPr>
      <w:r w:rsidRPr="00BD02A9">
        <w:rPr>
          <w:rFonts w:ascii="Arial" w:hAnsi="Arial" w:cs="Arial"/>
          <w:i/>
          <w:iCs/>
          <w:sz w:val="22"/>
          <w:szCs w:val="22"/>
        </w:rPr>
        <w:t xml:space="preserve">Except from paragraph 17 of the Explanatory Statement </w:t>
      </w:r>
      <w:r w:rsidR="00580081" w:rsidRPr="00BD02A9">
        <w:rPr>
          <w:rFonts w:ascii="Arial" w:hAnsi="Arial" w:cs="Arial"/>
          <w:i/>
          <w:iCs/>
          <w:sz w:val="22"/>
          <w:szCs w:val="22"/>
        </w:rPr>
        <w:t xml:space="preserve">(ES) </w:t>
      </w:r>
      <w:r w:rsidRPr="00BD02A9">
        <w:rPr>
          <w:rFonts w:ascii="Arial" w:hAnsi="Arial" w:cs="Arial"/>
          <w:i/>
          <w:iCs/>
          <w:sz w:val="22"/>
          <w:szCs w:val="22"/>
        </w:rPr>
        <w:t>to LI 2023/27</w:t>
      </w:r>
    </w:p>
    <w:p w14:paraId="6926CD5F" w14:textId="1987DBEC" w:rsidR="00AF2BAA" w:rsidRPr="00BD02A9" w:rsidRDefault="00AA65B0" w:rsidP="00AF2BAA">
      <w:pPr>
        <w:pStyle w:val="Default"/>
        <w:rPr>
          <w:rFonts w:ascii="Arial" w:hAnsi="Arial" w:cs="Arial"/>
          <w:sz w:val="22"/>
          <w:szCs w:val="22"/>
        </w:rPr>
      </w:pPr>
      <w:r w:rsidRPr="00BD02A9">
        <w:rPr>
          <w:rFonts w:ascii="Arial" w:hAnsi="Arial" w:cs="Arial"/>
          <w:sz w:val="22"/>
          <w:szCs w:val="22"/>
        </w:rPr>
        <w:t xml:space="preserve"> </w:t>
      </w:r>
      <w:r w:rsidR="00AF2BAA" w:rsidRPr="00BD02A9">
        <w:rPr>
          <w:rFonts w:ascii="Arial" w:hAnsi="Arial" w:cs="Arial"/>
          <w:sz w:val="22"/>
          <w:szCs w:val="22"/>
        </w:rPr>
        <w:t xml:space="preserve">“17. A 'relevant </w:t>
      </w:r>
      <w:proofErr w:type="spellStart"/>
      <w:r w:rsidR="00AF2BAA" w:rsidRPr="00BD02A9">
        <w:rPr>
          <w:rFonts w:ascii="Arial" w:hAnsi="Arial" w:cs="Arial"/>
          <w:sz w:val="22"/>
          <w:szCs w:val="22"/>
        </w:rPr>
        <w:t>class'</w:t>
      </w:r>
      <w:proofErr w:type="spellEnd"/>
      <w:r w:rsidR="00AF2BAA" w:rsidRPr="00BD02A9">
        <w:rPr>
          <w:rFonts w:ascii="Arial" w:hAnsi="Arial" w:cs="Arial"/>
          <w:sz w:val="22"/>
          <w:szCs w:val="22"/>
        </w:rPr>
        <w:t xml:space="preserve"> is defined as a class of entities: </w:t>
      </w:r>
    </w:p>
    <w:p w14:paraId="092B0613" w14:textId="77777777" w:rsidR="00F8165A" w:rsidRPr="00BD02A9" w:rsidRDefault="00F8165A" w:rsidP="00AF2BAA">
      <w:pPr>
        <w:pStyle w:val="Default"/>
        <w:rPr>
          <w:rFonts w:ascii="Arial" w:hAnsi="Arial" w:cs="Arial"/>
          <w:sz w:val="22"/>
          <w:szCs w:val="22"/>
        </w:rPr>
      </w:pPr>
    </w:p>
    <w:p w14:paraId="10A1A994" w14:textId="4B6552EC" w:rsidR="00AF2BAA" w:rsidRPr="00BD02A9" w:rsidRDefault="00AF2BAA" w:rsidP="00AF2BAA">
      <w:pPr>
        <w:pStyle w:val="Default"/>
        <w:rPr>
          <w:rFonts w:ascii="Arial" w:hAnsi="Arial" w:cs="Arial"/>
          <w:sz w:val="22"/>
          <w:szCs w:val="22"/>
        </w:rPr>
      </w:pPr>
      <w:r w:rsidRPr="00BD02A9">
        <w:rPr>
          <w:rFonts w:ascii="Arial" w:hAnsi="Arial" w:cs="Arial"/>
          <w:sz w:val="22"/>
          <w:szCs w:val="22"/>
        </w:rPr>
        <w:t xml:space="preserve">(a) that the Commissioner is satisfied has been affected by a natural disaster or </w:t>
      </w:r>
      <w:r w:rsidRPr="00BD02A9">
        <w:rPr>
          <w:rFonts w:ascii="Arial" w:hAnsi="Arial" w:cs="Arial"/>
          <w:b/>
          <w:bCs/>
          <w:sz w:val="22"/>
          <w:szCs w:val="22"/>
        </w:rPr>
        <w:t xml:space="preserve">other serious and external adverse event, or </w:t>
      </w:r>
    </w:p>
    <w:p w14:paraId="2CF021BC" w14:textId="77777777" w:rsidR="00F8165A" w:rsidRPr="00BD02A9" w:rsidRDefault="00F8165A" w:rsidP="00AF2BAA">
      <w:pPr>
        <w:pStyle w:val="Default"/>
        <w:rPr>
          <w:rFonts w:ascii="Arial" w:hAnsi="Arial" w:cs="Arial"/>
          <w:sz w:val="22"/>
          <w:szCs w:val="22"/>
        </w:rPr>
      </w:pPr>
    </w:p>
    <w:p w14:paraId="24F3541B" w14:textId="5294AE50" w:rsidR="00AF2BAA" w:rsidRPr="00BD02A9" w:rsidRDefault="00AF2BAA" w:rsidP="00AF2BAA">
      <w:pPr>
        <w:pStyle w:val="Default"/>
        <w:rPr>
          <w:rFonts w:ascii="Arial" w:hAnsi="Arial" w:cs="Arial"/>
          <w:sz w:val="22"/>
          <w:szCs w:val="22"/>
        </w:rPr>
      </w:pPr>
      <w:r w:rsidRPr="00BD02A9">
        <w:rPr>
          <w:rFonts w:ascii="Arial" w:hAnsi="Arial" w:cs="Arial"/>
          <w:sz w:val="22"/>
          <w:szCs w:val="22"/>
        </w:rPr>
        <w:t xml:space="preserve">(b) with a liability to a charge or penalty that the Commissioner considers is a </w:t>
      </w:r>
      <w:r w:rsidRPr="00BD02A9">
        <w:rPr>
          <w:rFonts w:ascii="Arial" w:hAnsi="Arial" w:cs="Arial"/>
          <w:b/>
          <w:bCs/>
          <w:sz w:val="22"/>
          <w:szCs w:val="22"/>
        </w:rPr>
        <w:t>minor amount</w:t>
      </w:r>
      <w:r w:rsidRPr="00BD02A9">
        <w:rPr>
          <w:rFonts w:ascii="Arial" w:hAnsi="Arial" w:cs="Arial"/>
          <w:sz w:val="22"/>
          <w:szCs w:val="22"/>
        </w:rPr>
        <w:t xml:space="preserve">, having regard to any relevant matters such as the cost of collecting the liability, costs of compliance for taxpayers, and the need to maintain adequate incentives for the prompt payment of liabilities, or </w:t>
      </w:r>
    </w:p>
    <w:p w14:paraId="3BA536DA" w14:textId="77777777" w:rsidR="00F8165A" w:rsidRPr="00BD02A9" w:rsidRDefault="00F8165A" w:rsidP="00AF2BAA">
      <w:pPr>
        <w:pStyle w:val="Default"/>
        <w:rPr>
          <w:rFonts w:ascii="Arial" w:hAnsi="Arial" w:cs="Arial"/>
          <w:sz w:val="22"/>
          <w:szCs w:val="22"/>
        </w:rPr>
      </w:pPr>
    </w:p>
    <w:p w14:paraId="25EE5246" w14:textId="647E5C13" w:rsidR="00AF2BAA" w:rsidRPr="00BD02A9" w:rsidRDefault="00AF2BAA" w:rsidP="00AF2BAA">
      <w:pPr>
        <w:pStyle w:val="Default"/>
        <w:rPr>
          <w:rFonts w:ascii="Arial" w:hAnsi="Arial" w:cs="Arial"/>
          <w:sz w:val="22"/>
          <w:szCs w:val="22"/>
        </w:rPr>
      </w:pPr>
      <w:r w:rsidRPr="00BD02A9">
        <w:rPr>
          <w:rFonts w:ascii="Arial" w:hAnsi="Arial" w:cs="Arial"/>
          <w:sz w:val="22"/>
          <w:szCs w:val="22"/>
        </w:rPr>
        <w:t xml:space="preserve">(c) with a liability to a charge or penalty that the Commissioner considers it is appropriate to remit to encourage ongoing compliance with taxation laws, having regard to </w:t>
      </w:r>
      <w:r w:rsidRPr="00BD02A9">
        <w:rPr>
          <w:rFonts w:ascii="Arial" w:hAnsi="Arial" w:cs="Arial"/>
          <w:b/>
          <w:bCs/>
          <w:sz w:val="22"/>
          <w:szCs w:val="22"/>
        </w:rPr>
        <w:t xml:space="preserve">previous compliance history. </w:t>
      </w:r>
      <w:r w:rsidR="00F66806" w:rsidRPr="00BD02A9">
        <w:rPr>
          <w:rFonts w:ascii="Arial" w:hAnsi="Arial" w:cs="Arial"/>
          <w:sz w:val="22"/>
          <w:szCs w:val="22"/>
        </w:rPr>
        <w:t>“</w:t>
      </w:r>
    </w:p>
    <w:p w14:paraId="225864F4" w14:textId="77777777" w:rsidR="00AA65B0" w:rsidRPr="00BD02A9" w:rsidRDefault="00AA65B0" w:rsidP="00AF2BAA">
      <w:pPr>
        <w:pStyle w:val="Default"/>
        <w:rPr>
          <w:rFonts w:ascii="Arial" w:hAnsi="Arial" w:cs="Arial"/>
          <w:sz w:val="22"/>
          <w:szCs w:val="22"/>
        </w:rPr>
      </w:pPr>
    </w:p>
    <w:p w14:paraId="42D6FF54" w14:textId="0338387B" w:rsidR="00AF2BAA" w:rsidRPr="00BD02A9" w:rsidRDefault="00C341F0" w:rsidP="00AF2BAA">
      <w:pPr>
        <w:pStyle w:val="Default"/>
        <w:rPr>
          <w:rFonts w:ascii="Arial" w:hAnsi="Arial" w:cs="Arial"/>
          <w:sz w:val="22"/>
          <w:szCs w:val="22"/>
        </w:rPr>
      </w:pPr>
      <w:r w:rsidRPr="00BD02A9">
        <w:rPr>
          <w:rFonts w:ascii="Arial" w:hAnsi="Arial" w:cs="Arial"/>
          <w:sz w:val="22"/>
          <w:szCs w:val="22"/>
        </w:rPr>
        <w:t>W</w:t>
      </w:r>
      <w:r w:rsidR="00AF2BAA" w:rsidRPr="00BD02A9">
        <w:rPr>
          <w:rFonts w:ascii="Arial" w:hAnsi="Arial" w:cs="Arial"/>
          <w:sz w:val="22"/>
          <w:szCs w:val="22"/>
        </w:rPr>
        <w:t xml:space="preserve">e </w:t>
      </w:r>
      <w:r w:rsidRPr="00BD02A9">
        <w:rPr>
          <w:rFonts w:ascii="Arial" w:hAnsi="Arial" w:cs="Arial"/>
          <w:sz w:val="22"/>
          <w:szCs w:val="22"/>
        </w:rPr>
        <w:t xml:space="preserve">intend to demonstrate </w:t>
      </w:r>
      <w:r w:rsidR="00AF2BAA" w:rsidRPr="00BD02A9">
        <w:rPr>
          <w:rFonts w:ascii="Arial" w:hAnsi="Arial" w:cs="Arial"/>
          <w:sz w:val="22"/>
          <w:szCs w:val="22"/>
        </w:rPr>
        <w:t xml:space="preserve">that </w:t>
      </w:r>
      <w:r w:rsidRPr="00BD02A9">
        <w:rPr>
          <w:rFonts w:ascii="Arial" w:hAnsi="Arial" w:cs="Arial"/>
          <w:sz w:val="22"/>
          <w:szCs w:val="22"/>
        </w:rPr>
        <w:t xml:space="preserve">our client has met </w:t>
      </w:r>
      <w:r w:rsidR="00AF2BAA" w:rsidRPr="00BD02A9">
        <w:rPr>
          <w:rFonts w:ascii="Arial" w:hAnsi="Arial" w:cs="Arial"/>
          <w:sz w:val="22"/>
          <w:szCs w:val="22"/>
        </w:rPr>
        <w:t>two of the three grounds that are relevant in this instance</w:t>
      </w:r>
      <w:r w:rsidR="004447C3" w:rsidRPr="00BD02A9">
        <w:rPr>
          <w:rFonts w:ascii="Arial" w:hAnsi="Arial" w:cs="Arial"/>
          <w:sz w:val="22"/>
          <w:szCs w:val="22"/>
        </w:rPr>
        <w:t xml:space="preserve"> to remit GIC</w:t>
      </w:r>
      <w:r w:rsidR="00AF2BAA" w:rsidRPr="00BD02A9">
        <w:rPr>
          <w:rFonts w:ascii="Arial" w:hAnsi="Arial" w:cs="Arial"/>
          <w:sz w:val="22"/>
          <w:szCs w:val="22"/>
        </w:rPr>
        <w:t xml:space="preserve">, being the grounds listed at </w:t>
      </w:r>
      <w:r w:rsidR="00580081" w:rsidRPr="00BD02A9">
        <w:rPr>
          <w:rFonts w:ascii="Arial" w:hAnsi="Arial" w:cs="Arial"/>
          <w:sz w:val="22"/>
          <w:szCs w:val="22"/>
        </w:rPr>
        <w:t xml:space="preserve">paragraph </w:t>
      </w:r>
      <w:r w:rsidR="00AF2BAA" w:rsidRPr="00BD02A9">
        <w:rPr>
          <w:rFonts w:ascii="Arial" w:hAnsi="Arial" w:cs="Arial"/>
          <w:sz w:val="22"/>
          <w:szCs w:val="22"/>
        </w:rPr>
        <w:t>17</w:t>
      </w:r>
      <w:r w:rsidR="00580081" w:rsidRPr="00BD02A9">
        <w:rPr>
          <w:rFonts w:ascii="Arial" w:hAnsi="Arial" w:cs="Arial"/>
          <w:sz w:val="22"/>
          <w:szCs w:val="22"/>
        </w:rPr>
        <w:t xml:space="preserve"> of the ES to LI 2023/27: </w:t>
      </w:r>
      <w:r w:rsidR="00AF2BAA" w:rsidRPr="00BD02A9">
        <w:rPr>
          <w:rFonts w:ascii="Arial" w:hAnsi="Arial" w:cs="Arial"/>
          <w:sz w:val="22"/>
          <w:szCs w:val="22"/>
        </w:rPr>
        <w:t>(a) ‘other serious and adverse event’ and (c) ‘</w:t>
      </w:r>
      <w:r w:rsidR="00AA65B0" w:rsidRPr="00BD02A9">
        <w:rPr>
          <w:rFonts w:ascii="Arial" w:hAnsi="Arial" w:cs="Arial"/>
          <w:sz w:val="22"/>
          <w:szCs w:val="22"/>
        </w:rPr>
        <w:t xml:space="preserve">good </w:t>
      </w:r>
      <w:r w:rsidR="00AF2BAA" w:rsidRPr="00BD02A9">
        <w:rPr>
          <w:rFonts w:ascii="Arial" w:hAnsi="Arial" w:cs="Arial"/>
          <w:sz w:val="22"/>
          <w:szCs w:val="22"/>
        </w:rPr>
        <w:t>compliance</w:t>
      </w:r>
      <w:r w:rsidR="00AA65B0" w:rsidRPr="00BD02A9">
        <w:rPr>
          <w:rFonts w:ascii="Arial" w:hAnsi="Arial" w:cs="Arial"/>
          <w:sz w:val="22"/>
          <w:szCs w:val="22"/>
        </w:rPr>
        <w:t xml:space="preserve"> history</w:t>
      </w:r>
      <w:r w:rsidR="00AF2BAA" w:rsidRPr="00BD02A9">
        <w:rPr>
          <w:rFonts w:ascii="Arial" w:hAnsi="Arial" w:cs="Arial"/>
          <w:sz w:val="22"/>
          <w:szCs w:val="22"/>
        </w:rPr>
        <w:t>’</w:t>
      </w:r>
      <w:r w:rsidR="00E527B1" w:rsidRPr="00BD02A9">
        <w:rPr>
          <w:rFonts w:ascii="Arial" w:hAnsi="Arial" w:cs="Arial"/>
          <w:sz w:val="22"/>
          <w:szCs w:val="22"/>
        </w:rPr>
        <w:t>.</w:t>
      </w:r>
    </w:p>
    <w:p w14:paraId="18EEC223" w14:textId="77777777" w:rsidR="00AF2BAA" w:rsidRPr="00BD02A9" w:rsidRDefault="00AF2BAA" w:rsidP="00AF2BAA">
      <w:pPr>
        <w:pStyle w:val="Default"/>
        <w:rPr>
          <w:rFonts w:ascii="Arial" w:hAnsi="Arial" w:cs="Arial"/>
          <w:b/>
          <w:bCs/>
          <w:sz w:val="22"/>
          <w:szCs w:val="22"/>
        </w:rPr>
      </w:pPr>
    </w:p>
    <w:p w14:paraId="30946CB7" w14:textId="77777777" w:rsidR="00AF2BAA" w:rsidRPr="00BD02A9" w:rsidRDefault="00AF2BAA" w:rsidP="00AF2BAA">
      <w:pPr>
        <w:pStyle w:val="Default"/>
        <w:rPr>
          <w:rFonts w:ascii="Arial" w:hAnsi="Arial" w:cs="Arial"/>
          <w:b/>
          <w:bCs/>
          <w:sz w:val="22"/>
          <w:szCs w:val="22"/>
        </w:rPr>
      </w:pPr>
    </w:p>
    <w:p w14:paraId="4D0E0053" w14:textId="67824B3F" w:rsidR="00AF2BAA" w:rsidRPr="00BD02A9" w:rsidRDefault="00AF2BAA" w:rsidP="00AF2BAA">
      <w:pPr>
        <w:pStyle w:val="Default"/>
        <w:rPr>
          <w:rFonts w:ascii="Arial" w:hAnsi="Arial" w:cs="Arial"/>
          <w:sz w:val="22"/>
          <w:szCs w:val="22"/>
        </w:rPr>
      </w:pPr>
      <w:r w:rsidRPr="00BD02A9">
        <w:rPr>
          <w:rFonts w:ascii="Arial" w:hAnsi="Arial" w:cs="Arial"/>
          <w:b/>
          <w:bCs/>
          <w:sz w:val="22"/>
          <w:szCs w:val="22"/>
        </w:rPr>
        <w:t>G</w:t>
      </w:r>
      <w:r w:rsidR="00F8165A" w:rsidRPr="00BD02A9">
        <w:rPr>
          <w:rFonts w:ascii="Arial" w:hAnsi="Arial" w:cs="Arial"/>
          <w:b/>
          <w:bCs/>
          <w:sz w:val="22"/>
          <w:szCs w:val="22"/>
        </w:rPr>
        <w:t xml:space="preserve">ROUND A: SERIOUS AND EXTERNAL ADVERSE EVENT </w:t>
      </w:r>
      <w:r w:rsidRPr="00BD02A9">
        <w:rPr>
          <w:rFonts w:ascii="Arial" w:hAnsi="Arial" w:cs="Arial"/>
          <w:b/>
          <w:bCs/>
          <w:sz w:val="22"/>
          <w:szCs w:val="22"/>
        </w:rPr>
        <w:t xml:space="preserve"> </w:t>
      </w:r>
    </w:p>
    <w:p w14:paraId="477030DB" w14:textId="77777777" w:rsidR="00A14E8E" w:rsidRPr="00BD02A9" w:rsidRDefault="00A14E8E" w:rsidP="00AF2BAA">
      <w:pPr>
        <w:pStyle w:val="Default"/>
        <w:rPr>
          <w:rFonts w:ascii="Arial" w:hAnsi="Arial" w:cs="Arial"/>
          <w:sz w:val="22"/>
          <w:szCs w:val="22"/>
        </w:rPr>
      </w:pPr>
    </w:p>
    <w:p w14:paraId="6D26B57B" w14:textId="77777777" w:rsidR="00B5530B" w:rsidRPr="00BD02A9" w:rsidRDefault="00E527B1" w:rsidP="00B5530B">
      <w:pPr>
        <w:pStyle w:val="Default"/>
        <w:rPr>
          <w:rFonts w:ascii="Arial" w:hAnsi="Arial" w:cs="Arial"/>
          <w:i/>
          <w:iCs/>
          <w:sz w:val="22"/>
          <w:szCs w:val="22"/>
        </w:rPr>
      </w:pPr>
      <w:r w:rsidRPr="00BD02A9">
        <w:rPr>
          <w:rFonts w:ascii="Arial" w:hAnsi="Arial" w:cs="Arial"/>
          <w:sz w:val="22"/>
          <w:szCs w:val="22"/>
        </w:rPr>
        <w:t>We</w:t>
      </w:r>
      <w:r w:rsidR="00A14E8E" w:rsidRPr="00BD02A9">
        <w:rPr>
          <w:rFonts w:ascii="Arial" w:hAnsi="Arial" w:cs="Arial"/>
          <w:sz w:val="22"/>
          <w:szCs w:val="22"/>
        </w:rPr>
        <w:t xml:space="preserve"> </w:t>
      </w:r>
      <w:r w:rsidR="000856E0" w:rsidRPr="00BD02A9">
        <w:rPr>
          <w:rFonts w:ascii="Arial" w:hAnsi="Arial" w:cs="Arial"/>
          <w:sz w:val="22"/>
          <w:szCs w:val="22"/>
        </w:rPr>
        <w:t xml:space="preserve">will now </w:t>
      </w:r>
      <w:r w:rsidR="00A14E8E" w:rsidRPr="00BD02A9">
        <w:rPr>
          <w:rFonts w:ascii="Arial" w:hAnsi="Arial" w:cs="Arial"/>
          <w:sz w:val="22"/>
          <w:szCs w:val="22"/>
        </w:rPr>
        <w:t>outline several serious and adverse external events that have impacted upon the</w:t>
      </w:r>
      <w:r w:rsidR="00EB4510" w:rsidRPr="00BD02A9">
        <w:rPr>
          <w:rFonts w:ascii="Arial" w:hAnsi="Arial" w:cs="Arial"/>
          <w:sz w:val="22"/>
          <w:szCs w:val="22"/>
        </w:rPr>
        <w:t xml:space="preserve"> taxpayer</w:t>
      </w:r>
      <w:r w:rsidR="00A14E8E" w:rsidRPr="00BD02A9">
        <w:rPr>
          <w:rFonts w:ascii="Arial" w:hAnsi="Arial" w:cs="Arial"/>
          <w:sz w:val="22"/>
          <w:szCs w:val="22"/>
        </w:rPr>
        <w:t xml:space="preserve"> in accordance with </w:t>
      </w:r>
      <w:r w:rsidR="00535A13">
        <w:rPr>
          <w:rFonts w:ascii="Arial" w:hAnsi="Arial" w:cs="Arial"/>
          <w:sz w:val="22"/>
          <w:szCs w:val="22"/>
        </w:rPr>
        <w:t xml:space="preserve">paragraph 17 of the Explanatory Statement to </w:t>
      </w:r>
      <w:r w:rsidR="00A14E8E" w:rsidRPr="00BD02A9">
        <w:rPr>
          <w:rFonts w:ascii="Arial" w:hAnsi="Arial" w:cs="Arial"/>
          <w:sz w:val="22"/>
          <w:szCs w:val="22"/>
        </w:rPr>
        <w:t xml:space="preserve">LI 2023/27 </w:t>
      </w:r>
      <w:r w:rsidR="00B5530B" w:rsidRPr="00BD02A9">
        <w:rPr>
          <w:rFonts w:ascii="Arial" w:hAnsi="Arial" w:cs="Arial"/>
          <w:i/>
          <w:iCs/>
          <w:sz w:val="22"/>
          <w:szCs w:val="22"/>
        </w:rPr>
        <w:t>Taxation Administration (Remedial Power - Remission of Charges and Penalties) Determination 2023.</w:t>
      </w:r>
    </w:p>
    <w:p w14:paraId="31F6FC0C" w14:textId="010D1B96" w:rsidR="00A14E8E" w:rsidRPr="00BD02A9" w:rsidRDefault="00A14E8E" w:rsidP="00AF2BAA">
      <w:pPr>
        <w:pStyle w:val="Default"/>
        <w:rPr>
          <w:rFonts w:ascii="Arial" w:hAnsi="Arial" w:cs="Arial"/>
          <w:sz w:val="22"/>
          <w:szCs w:val="22"/>
        </w:rPr>
      </w:pPr>
      <w:r w:rsidRPr="00BD02A9">
        <w:rPr>
          <w:rFonts w:ascii="Arial" w:hAnsi="Arial" w:cs="Arial"/>
          <w:sz w:val="22"/>
          <w:szCs w:val="22"/>
        </w:rPr>
        <w:t>as follows:</w:t>
      </w:r>
    </w:p>
    <w:p w14:paraId="23D22F31" w14:textId="77777777" w:rsidR="00A14E8E" w:rsidRPr="00BD02A9" w:rsidRDefault="00A14E8E" w:rsidP="00AF2BAA">
      <w:pPr>
        <w:pStyle w:val="Default"/>
        <w:rPr>
          <w:rFonts w:ascii="Arial" w:hAnsi="Arial" w:cs="Arial"/>
          <w:sz w:val="22"/>
          <w:szCs w:val="22"/>
        </w:rPr>
      </w:pPr>
    </w:p>
    <w:p w14:paraId="4B929ABF" w14:textId="30EE3B96" w:rsidR="00A14E8E" w:rsidRPr="00BD02A9" w:rsidRDefault="00A14E8E" w:rsidP="00381EB3">
      <w:pPr>
        <w:pStyle w:val="Default"/>
        <w:numPr>
          <w:ilvl w:val="0"/>
          <w:numId w:val="9"/>
        </w:numPr>
        <w:rPr>
          <w:rFonts w:ascii="Arial" w:hAnsi="Arial" w:cs="Arial"/>
          <w:b/>
          <w:bCs/>
          <w:sz w:val="22"/>
          <w:szCs w:val="22"/>
        </w:rPr>
      </w:pPr>
      <w:r w:rsidRPr="00BD02A9">
        <w:rPr>
          <w:rFonts w:ascii="Arial" w:hAnsi="Arial" w:cs="Arial"/>
          <w:b/>
          <w:bCs/>
          <w:sz w:val="22"/>
          <w:szCs w:val="22"/>
        </w:rPr>
        <w:t>CASHFLOW AND</w:t>
      </w:r>
      <w:r w:rsidR="00381EB3" w:rsidRPr="00BD02A9">
        <w:rPr>
          <w:rFonts w:ascii="Arial" w:hAnsi="Arial" w:cs="Arial"/>
          <w:b/>
          <w:bCs/>
          <w:sz w:val="22"/>
          <w:szCs w:val="22"/>
        </w:rPr>
        <w:t xml:space="preserve"> EXTERNAL ADVERSE </w:t>
      </w:r>
      <w:r w:rsidRPr="00BD02A9">
        <w:rPr>
          <w:rFonts w:ascii="Arial" w:hAnsi="Arial" w:cs="Arial"/>
          <w:b/>
          <w:bCs/>
          <w:sz w:val="22"/>
          <w:szCs w:val="22"/>
        </w:rPr>
        <w:t>CUSTOMER RELATED ISSUES</w:t>
      </w:r>
    </w:p>
    <w:p w14:paraId="3EFE5ACE" w14:textId="77777777" w:rsidR="00A14E8E" w:rsidRPr="00BD02A9" w:rsidRDefault="00A14E8E" w:rsidP="00AF2BAA">
      <w:pPr>
        <w:pStyle w:val="Default"/>
        <w:rPr>
          <w:rFonts w:ascii="Arial" w:hAnsi="Arial" w:cs="Arial"/>
          <w:b/>
          <w:bCs/>
          <w:sz w:val="22"/>
          <w:szCs w:val="22"/>
        </w:rPr>
      </w:pPr>
    </w:p>
    <w:p w14:paraId="1C5EB140" w14:textId="5E2196E7" w:rsidR="00A14E8E" w:rsidRPr="00BD02A9" w:rsidRDefault="00A14E8E" w:rsidP="00A14E8E">
      <w:pPr>
        <w:rPr>
          <w:rFonts w:ascii="Arial" w:hAnsi="Arial" w:cs="Arial"/>
          <w:sz w:val="22"/>
          <w:szCs w:val="22"/>
          <w:lang w:val="en-AU"/>
        </w:rPr>
      </w:pPr>
      <w:r w:rsidRPr="00BD02A9">
        <w:rPr>
          <w:rFonts w:ascii="Arial" w:hAnsi="Arial" w:cs="Arial"/>
          <w:sz w:val="22"/>
          <w:szCs w:val="22"/>
          <w:lang w:val="en-AU"/>
        </w:rPr>
        <w:t xml:space="preserve">After a significant R&amp;D investment, </w:t>
      </w:r>
      <w:r w:rsidR="005427E4" w:rsidRPr="00BD02A9">
        <w:rPr>
          <w:rFonts w:ascii="Arial" w:hAnsi="Arial" w:cs="Arial"/>
          <w:sz w:val="22"/>
          <w:szCs w:val="22"/>
          <w:lang w:val="en-AU"/>
        </w:rPr>
        <w:t xml:space="preserve">the firm </w:t>
      </w:r>
      <w:r w:rsidRPr="00BD02A9">
        <w:rPr>
          <w:rFonts w:ascii="Arial" w:hAnsi="Arial" w:cs="Arial"/>
          <w:sz w:val="22"/>
          <w:szCs w:val="22"/>
          <w:lang w:val="en-AU"/>
        </w:rPr>
        <w:t xml:space="preserve">launched </w:t>
      </w:r>
      <w:r w:rsidR="005427E4" w:rsidRPr="00BD02A9">
        <w:rPr>
          <w:rFonts w:ascii="Arial" w:hAnsi="Arial" w:cs="Arial"/>
          <w:sz w:val="22"/>
          <w:szCs w:val="22"/>
          <w:lang w:val="en-AU"/>
        </w:rPr>
        <w:t xml:space="preserve">its </w:t>
      </w:r>
      <w:proofErr w:type="spellStart"/>
      <w:r w:rsidRPr="00BD02A9">
        <w:rPr>
          <w:rFonts w:ascii="Arial" w:hAnsi="Arial" w:cs="Arial"/>
          <w:sz w:val="22"/>
          <w:szCs w:val="22"/>
          <w:lang w:val="en-AU"/>
        </w:rPr>
        <w:t>Ecoactiv</w:t>
      </w:r>
      <w:proofErr w:type="spellEnd"/>
      <w:r w:rsidRPr="00BD02A9">
        <w:rPr>
          <w:rFonts w:ascii="Arial" w:hAnsi="Arial" w:cs="Arial"/>
          <w:sz w:val="22"/>
          <w:szCs w:val="22"/>
          <w:lang w:val="en-AU"/>
        </w:rPr>
        <w:t xml:space="preserve"> Digital Platform in June 2020 as a user-pays collection and recycling service, with JB Hi-Fi as the first of what was expected to be many key partners. </w:t>
      </w:r>
      <w:proofErr w:type="spellStart"/>
      <w:r w:rsidR="000E3AB1" w:rsidRPr="00BD02A9">
        <w:rPr>
          <w:rFonts w:ascii="Arial" w:hAnsi="Arial" w:cs="Arial"/>
          <w:sz w:val="22"/>
          <w:szCs w:val="22"/>
          <w:lang w:val="en-AU"/>
        </w:rPr>
        <w:t>Ecoactiv</w:t>
      </w:r>
      <w:proofErr w:type="spellEnd"/>
      <w:r w:rsidR="000E3AB1" w:rsidRPr="00BD02A9">
        <w:rPr>
          <w:rFonts w:ascii="Arial" w:hAnsi="Arial" w:cs="Arial"/>
          <w:sz w:val="22"/>
          <w:szCs w:val="22"/>
          <w:lang w:val="en-AU"/>
        </w:rPr>
        <w:t xml:space="preserve"> was designed to be a central revenue driver for our business, providing services in the areas of circular economy and sustainability, which are critical focus areas for </w:t>
      </w:r>
      <w:r w:rsidR="0037754F">
        <w:rPr>
          <w:rFonts w:ascii="Arial" w:hAnsi="Arial" w:cs="Arial"/>
          <w:sz w:val="22"/>
          <w:szCs w:val="22"/>
          <w:lang w:val="en-AU"/>
        </w:rPr>
        <w:t xml:space="preserve">The </w:t>
      </w:r>
      <w:proofErr w:type="spellStart"/>
      <w:r w:rsidR="0037754F">
        <w:rPr>
          <w:rFonts w:ascii="Arial" w:hAnsi="Arial" w:cs="Arial"/>
          <w:sz w:val="22"/>
          <w:szCs w:val="22"/>
          <w:lang w:val="en-AU"/>
        </w:rPr>
        <w:t>Activ</w:t>
      </w:r>
      <w:proofErr w:type="spellEnd"/>
      <w:r w:rsidR="0037754F">
        <w:rPr>
          <w:rFonts w:ascii="Arial" w:hAnsi="Arial" w:cs="Arial"/>
          <w:sz w:val="22"/>
          <w:szCs w:val="22"/>
          <w:lang w:val="en-AU"/>
        </w:rPr>
        <w:t xml:space="preserve"> Group</w:t>
      </w:r>
      <w:r w:rsidR="000E3AB1" w:rsidRPr="00BD02A9">
        <w:rPr>
          <w:rFonts w:ascii="Arial" w:hAnsi="Arial" w:cs="Arial"/>
          <w:sz w:val="22"/>
          <w:szCs w:val="22"/>
          <w:lang w:val="en-AU"/>
        </w:rPr>
        <w:t xml:space="preserve">. However, the onset of the COVID-19 pandemic severely disrupted our business, including the </w:t>
      </w:r>
      <w:proofErr w:type="spellStart"/>
      <w:r w:rsidR="000E3AB1" w:rsidRPr="00BD02A9">
        <w:rPr>
          <w:rFonts w:ascii="Arial" w:hAnsi="Arial" w:cs="Arial"/>
          <w:sz w:val="22"/>
          <w:szCs w:val="22"/>
          <w:lang w:val="en-AU"/>
        </w:rPr>
        <w:t>Ecoactiv</w:t>
      </w:r>
      <w:proofErr w:type="spellEnd"/>
      <w:r w:rsidR="000E3AB1" w:rsidRPr="00BD02A9">
        <w:rPr>
          <w:rFonts w:ascii="Arial" w:hAnsi="Arial" w:cs="Arial"/>
          <w:sz w:val="22"/>
          <w:szCs w:val="22"/>
          <w:lang w:val="en-AU"/>
        </w:rPr>
        <w:t xml:space="preserve"> launch.</w:t>
      </w:r>
    </w:p>
    <w:p w14:paraId="77C294A7" w14:textId="77777777" w:rsidR="00A14E8E" w:rsidRPr="00BD02A9" w:rsidRDefault="00A14E8E" w:rsidP="00A14E8E">
      <w:pPr>
        <w:rPr>
          <w:rFonts w:ascii="Arial" w:hAnsi="Arial" w:cs="Arial"/>
          <w:sz w:val="22"/>
          <w:szCs w:val="22"/>
          <w:lang w:val="en-AU"/>
        </w:rPr>
      </w:pPr>
    </w:p>
    <w:p w14:paraId="7ECDB18A" w14:textId="71CD430E" w:rsidR="00A14E8E" w:rsidRPr="00BD02A9" w:rsidRDefault="00A14E8E" w:rsidP="00A14E8E">
      <w:pPr>
        <w:rPr>
          <w:rFonts w:ascii="Arial" w:hAnsi="Arial" w:cs="Arial"/>
          <w:sz w:val="22"/>
          <w:szCs w:val="22"/>
          <w:lang w:val="en-AU"/>
        </w:rPr>
      </w:pPr>
      <w:proofErr w:type="spellStart"/>
      <w:r w:rsidRPr="00BD02A9">
        <w:rPr>
          <w:rFonts w:ascii="Arial" w:hAnsi="Arial" w:cs="Arial"/>
          <w:sz w:val="22"/>
          <w:szCs w:val="22"/>
          <w:lang w:val="en-AU"/>
        </w:rPr>
        <w:t>EraseIT</w:t>
      </w:r>
      <w:proofErr w:type="spellEnd"/>
      <w:r w:rsidRPr="00BD02A9">
        <w:rPr>
          <w:rFonts w:ascii="Arial" w:hAnsi="Arial" w:cs="Arial"/>
          <w:sz w:val="22"/>
          <w:szCs w:val="22"/>
          <w:lang w:val="en-AU"/>
        </w:rPr>
        <w:t xml:space="preserve">, </w:t>
      </w:r>
      <w:r w:rsidR="00EB4510" w:rsidRPr="00BD02A9">
        <w:rPr>
          <w:rFonts w:ascii="Arial" w:hAnsi="Arial" w:cs="Arial"/>
          <w:sz w:val="22"/>
          <w:szCs w:val="22"/>
          <w:lang w:val="en-AU"/>
        </w:rPr>
        <w:t xml:space="preserve">as </w:t>
      </w:r>
      <w:r w:rsidRPr="00BD02A9">
        <w:rPr>
          <w:rFonts w:ascii="Arial" w:hAnsi="Arial" w:cs="Arial"/>
          <w:sz w:val="22"/>
          <w:szCs w:val="22"/>
          <w:lang w:val="en-AU"/>
        </w:rPr>
        <w:t xml:space="preserve">one of </w:t>
      </w:r>
      <w:r w:rsidR="009311FB" w:rsidRPr="00BD02A9">
        <w:rPr>
          <w:rFonts w:ascii="Arial" w:hAnsi="Arial" w:cs="Arial"/>
          <w:sz w:val="22"/>
          <w:szCs w:val="22"/>
          <w:lang w:val="en-AU"/>
        </w:rPr>
        <w:t xml:space="preserve">the </w:t>
      </w:r>
      <w:r w:rsidRPr="00BD02A9">
        <w:rPr>
          <w:rFonts w:ascii="Arial" w:hAnsi="Arial" w:cs="Arial"/>
          <w:sz w:val="22"/>
          <w:szCs w:val="22"/>
          <w:lang w:val="en-AU"/>
        </w:rPr>
        <w:t>major clients and a key profit contributor with an annual spend of $</w:t>
      </w:r>
      <w:r w:rsidR="00EB6B44">
        <w:rPr>
          <w:rFonts w:ascii="Arial" w:hAnsi="Arial" w:cs="Arial"/>
          <w:sz w:val="22"/>
          <w:szCs w:val="22"/>
          <w:lang w:val="en-AU"/>
        </w:rPr>
        <w:t>xxx</w:t>
      </w:r>
      <w:r w:rsidRPr="00BD02A9">
        <w:rPr>
          <w:rFonts w:ascii="Arial" w:hAnsi="Arial" w:cs="Arial"/>
          <w:sz w:val="22"/>
          <w:szCs w:val="22"/>
          <w:lang w:val="en-AU"/>
        </w:rPr>
        <w:t xml:space="preserve">,000, brought forward a significant amount of project work, primarily involving the collection of assets for disposal. This provided a temporary surge in revenue, which was crucial at the time. However, this was short-lived, and after this initial burst of activity, </w:t>
      </w:r>
      <w:proofErr w:type="spellStart"/>
      <w:r w:rsidRPr="00BD02A9">
        <w:rPr>
          <w:rFonts w:ascii="Arial" w:hAnsi="Arial" w:cs="Arial"/>
          <w:sz w:val="22"/>
          <w:szCs w:val="22"/>
          <w:lang w:val="en-AU"/>
        </w:rPr>
        <w:t>EraseIT’s</w:t>
      </w:r>
      <w:proofErr w:type="spellEnd"/>
      <w:r w:rsidRPr="00BD02A9">
        <w:rPr>
          <w:rFonts w:ascii="Arial" w:hAnsi="Arial" w:cs="Arial"/>
          <w:sz w:val="22"/>
          <w:szCs w:val="22"/>
          <w:lang w:val="en-AU"/>
        </w:rPr>
        <w:t xml:space="preserve"> project work and spending dried up. This sudden and sharp drop-off, combined with the unexpected loss of other projects, severely affected our </w:t>
      </w:r>
      <w:r w:rsidR="009A457D" w:rsidRPr="00BD02A9">
        <w:rPr>
          <w:rFonts w:ascii="Arial" w:hAnsi="Arial" w:cs="Arial"/>
          <w:sz w:val="22"/>
          <w:szCs w:val="22"/>
          <w:lang w:val="en-AU"/>
        </w:rPr>
        <w:t xml:space="preserve">client’s </w:t>
      </w:r>
      <w:r w:rsidRPr="00BD02A9">
        <w:rPr>
          <w:rFonts w:ascii="Arial" w:hAnsi="Arial" w:cs="Arial"/>
          <w:sz w:val="22"/>
          <w:szCs w:val="22"/>
          <w:lang w:val="en-AU"/>
        </w:rPr>
        <w:t>revenue streams.</w:t>
      </w:r>
    </w:p>
    <w:p w14:paraId="34210A79" w14:textId="77777777" w:rsidR="00A14E8E" w:rsidRPr="00BD02A9" w:rsidRDefault="00A14E8E" w:rsidP="00A14E8E">
      <w:pPr>
        <w:rPr>
          <w:rFonts w:ascii="Arial" w:hAnsi="Arial" w:cs="Arial"/>
          <w:sz w:val="22"/>
          <w:szCs w:val="22"/>
          <w:lang w:val="en-AU"/>
        </w:rPr>
      </w:pPr>
    </w:p>
    <w:p w14:paraId="729B89DD" w14:textId="59A751C3" w:rsidR="00A14E8E" w:rsidRPr="00BD02A9" w:rsidRDefault="00A14E8E" w:rsidP="00A14E8E">
      <w:pPr>
        <w:jc w:val="center"/>
        <w:rPr>
          <w:rFonts w:ascii="Arial" w:hAnsi="Arial" w:cs="Arial"/>
          <w:sz w:val="22"/>
          <w:szCs w:val="22"/>
          <w:lang w:val="en-AU"/>
        </w:rPr>
      </w:pPr>
      <w:r w:rsidRPr="00BD02A9">
        <w:rPr>
          <w:rFonts w:ascii="Arial" w:hAnsi="Arial" w:cs="Arial"/>
          <w:noProof/>
          <w:sz w:val="22"/>
          <w:szCs w:val="22"/>
        </w:rPr>
        <w:drawing>
          <wp:inline distT="0" distB="0" distL="0" distR="0" wp14:anchorId="4BD3EE02" wp14:editId="4575F791">
            <wp:extent cx="4718050" cy="1924050"/>
            <wp:effectExtent l="0" t="0" r="6350" b="0"/>
            <wp:docPr id="1809701533" name="Picture 1" descr="A graph of blue and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blue and gray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1924050"/>
                    </a:xfrm>
                    <a:prstGeom prst="rect">
                      <a:avLst/>
                    </a:prstGeom>
                    <a:noFill/>
                    <a:ln>
                      <a:noFill/>
                    </a:ln>
                  </pic:spPr>
                </pic:pic>
              </a:graphicData>
            </a:graphic>
          </wp:inline>
        </w:drawing>
      </w:r>
    </w:p>
    <w:p w14:paraId="5404CF2E" w14:textId="77777777" w:rsidR="00A14E8E" w:rsidRPr="00BD02A9" w:rsidRDefault="00A14E8E" w:rsidP="00A14E8E">
      <w:pPr>
        <w:jc w:val="both"/>
        <w:rPr>
          <w:rFonts w:ascii="Arial" w:hAnsi="Arial" w:cs="Arial"/>
          <w:sz w:val="22"/>
          <w:szCs w:val="22"/>
          <w:lang w:val="en-AU"/>
        </w:rPr>
      </w:pPr>
    </w:p>
    <w:p w14:paraId="58575AA6" w14:textId="77777777" w:rsidR="00A14E8E" w:rsidRPr="00BD02A9" w:rsidRDefault="00A14E8E" w:rsidP="00A14E8E">
      <w:pPr>
        <w:rPr>
          <w:rFonts w:ascii="Arial" w:hAnsi="Arial" w:cs="Arial"/>
          <w:sz w:val="22"/>
          <w:szCs w:val="22"/>
          <w:lang w:val="en-AU"/>
        </w:rPr>
      </w:pPr>
    </w:p>
    <w:p w14:paraId="19A1C765" w14:textId="77777777" w:rsidR="00891B37" w:rsidRPr="00BD02A9" w:rsidRDefault="00891B37" w:rsidP="00891B37">
      <w:pPr>
        <w:rPr>
          <w:rFonts w:ascii="Arial" w:hAnsi="Arial" w:cs="Arial"/>
          <w:sz w:val="22"/>
          <w:szCs w:val="22"/>
          <w:lang w:val="en-AU"/>
        </w:rPr>
      </w:pPr>
    </w:p>
    <w:p w14:paraId="716AFB22" w14:textId="7FBAA004" w:rsidR="00891B37" w:rsidRPr="00BD02A9" w:rsidRDefault="00891B37" w:rsidP="00891B37">
      <w:pPr>
        <w:rPr>
          <w:rFonts w:ascii="Arial" w:hAnsi="Arial" w:cs="Arial"/>
          <w:sz w:val="22"/>
          <w:szCs w:val="22"/>
          <w:lang w:val="en-AU"/>
        </w:rPr>
      </w:pPr>
      <w:r w:rsidRPr="00BD02A9">
        <w:rPr>
          <w:rFonts w:ascii="Arial" w:hAnsi="Arial" w:cs="Arial"/>
          <w:sz w:val="22"/>
          <w:szCs w:val="22"/>
          <w:lang w:val="en-AU"/>
        </w:rPr>
        <w:t xml:space="preserve">While there was increased demand for new products due to the shift to remote work, </w:t>
      </w:r>
      <w:r w:rsidR="00E24EA4">
        <w:rPr>
          <w:rFonts w:ascii="Arial" w:hAnsi="Arial" w:cs="Arial"/>
          <w:sz w:val="22"/>
          <w:szCs w:val="22"/>
          <w:lang w:val="en-AU"/>
        </w:rPr>
        <w:t xml:space="preserve">XXX’s Pty </w:t>
      </w:r>
      <w:proofErr w:type="spellStart"/>
      <w:r w:rsidR="00E24EA4">
        <w:rPr>
          <w:rFonts w:ascii="Arial" w:hAnsi="Arial" w:cs="Arial"/>
          <w:sz w:val="22"/>
          <w:szCs w:val="22"/>
          <w:lang w:val="en-AU"/>
        </w:rPr>
        <w:t>L</w:t>
      </w:r>
      <w:r w:rsidR="005A0F54">
        <w:rPr>
          <w:rFonts w:ascii="Arial" w:hAnsi="Arial" w:cs="Arial"/>
          <w:sz w:val="22"/>
          <w:szCs w:val="22"/>
          <w:lang w:val="en-AU"/>
        </w:rPr>
        <w:t>t</w:t>
      </w:r>
      <w:r w:rsidR="009141BB">
        <w:rPr>
          <w:rFonts w:ascii="Arial" w:hAnsi="Arial" w:cs="Arial"/>
          <w:sz w:val="22"/>
          <w:szCs w:val="22"/>
          <w:lang w:val="en-AU"/>
        </w:rPr>
        <w:t>d</w:t>
      </w:r>
      <w:r w:rsidR="00E24EA4">
        <w:rPr>
          <w:rFonts w:ascii="Arial" w:hAnsi="Arial" w:cs="Arial"/>
          <w:sz w:val="22"/>
          <w:szCs w:val="22"/>
          <w:lang w:val="en-AU"/>
        </w:rPr>
        <w:t>’s</w:t>
      </w:r>
      <w:proofErr w:type="spellEnd"/>
      <w:r w:rsidR="0037754F" w:rsidRPr="00BD02A9">
        <w:rPr>
          <w:rFonts w:ascii="Arial" w:hAnsi="Arial" w:cs="Arial"/>
          <w:sz w:val="22"/>
          <w:szCs w:val="22"/>
          <w:lang w:val="en-AU"/>
        </w:rPr>
        <w:t xml:space="preserve"> </w:t>
      </w:r>
      <w:r w:rsidRPr="00BD02A9">
        <w:rPr>
          <w:rFonts w:ascii="Arial" w:hAnsi="Arial" w:cs="Arial"/>
          <w:sz w:val="22"/>
          <w:szCs w:val="22"/>
          <w:lang w:val="en-AU"/>
        </w:rPr>
        <w:t xml:space="preserve">environmental services, including recycling programs and end-of-life product stewardship, were viewed as “non-essential”. Many businesses delayed or cancelled sustainability initiatives given the significant uncertainty in the economy at that time. This downturn impacted both </w:t>
      </w:r>
      <w:proofErr w:type="spellStart"/>
      <w:r w:rsidRPr="00BD02A9">
        <w:rPr>
          <w:rFonts w:ascii="Arial" w:hAnsi="Arial" w:cs="Arial"/>
          <w:sz w:val="22"/>
          <w:szCs w:val="22"/>
          <w:lang w:val="en-AU"/>
        </w:rPr>
        <w:t>Ecoactiv</w:t>
      </w:r>
      <w:proofErr w:type="spellEnd"/>
      <w:r w:rsidRPr="00BD02A9">
        <w:rPr>
          <w:rFonts w:ascii="Arial" w:hAnsi="Arial" w:cs="Arial"/>
          <w:sz w:val="22"/>
          <w:szCs w:val="22"/>
          <w:lang w:val="en-AU"/>
        </w:rPr>
        <w:t xml:space="preserve"> and the broader circular </w:t>
      </w:r>
      <w:r w:rsidR="00417903" w:rsidRPr="00BD02A9">
        <w:rPr>
          <w:rFonts w:ascii="Arial" w:hAnsi="Arial" w:cs="Arial"/>
          <w:sz w:val="22"/>
          <w:szCs w:val="22"/>
          <w:lang w:val="en-AU"/>
        </w:rPr>
        <w:t>economy,</w:t>
      </w:r>
      <w:r w:rsidRPr="00BD02A9">
        <w:rPr>
          <w:rFonts w:ascii="Arial" w:hAnsi="Arial" w:cs="Arial"/>
          <w:sz w:val="22"/>
          <w:szCs w:val="22"/>
          <w:lang w:val="en-AU"/>
        </w:rPr>
        <w:t xml:space="preserve"> leading to a drastic decline in revenue.</w:t>
      </w:r>
    </w:p>
    <w:p w14:paraId="2189ECF3" w14:textId="77777777" w:rsidR="00891B37" w:rsidRPr="00BD02A9" w:rsidRDefault="00891B37" w:rsidP="00891B37">
      <w:pPr>
        <w:rPr>
          <w:rFonts w:ascii="Arial" w:hAnsi="Arial" w:cs="Arial"/>
          <w:sz w:val="22"/>
          <w:szCs w:val="22"/>
          <w:lang w:val="en-AU"/>
        </w:rPr>
      </w:pPr>
    </w:p>
    <w:p w14:paraId="2A3D6E18" w14:textId="4F92702C" w:rsidR="00A14E8E" w:rsidRPr="00BD02A9" w:rsidRDefault="00A14E8E" w:rsidP="00A14E8E">
      <w:pPr>
        <w:rPr>
          <w:rFonts w:ascii="Arial" w:hAnsi="Arial" w:cs="Arial"/>
          <w:sz w:val="22"/>
          <w:szCs w:val="22"/>
          <w:lang w:val="en-AU"/>
        </w:rPr>
      </w:pPr>
      <w:r w:rsidRPr="00BD02A9">
        <w:rPr>
          <w:rFonts w:ascii="Arial" w:hAnsi="Arial" w:cs="Arial"/>
          <w:sz w:val="22"/>
          <w:szCs w:val="22"/>
          <w:lang w:val="en-AU"/>
        </w:rPr>
        <w:t xml:space="preserve">The culmination of these compromised projects forced </w:t>
      </w:r>
      <w:r w:rsidR="00AB118B" w:rsidRPr="00BD02A9">
        <w:rPr>
          <w:rFonts w:ascii="Arial" w:hAnsi="Arial" w:cs="Arial"/>
          <w:sz w:val="22"/>
          <w:szCs w:val="22"/>
          <w:lang w:val="en-AU"/>
        </w:rPr>
        <w:t>our client</w:t>
      </w:r>
      <w:r w:rsidRPr="00BD02A9">
        <w:rPr>
          <w:rFonts w:ascii="Arial" w:hAnsi="Arial" w:cs="Arial"/>
          <w:sz w:val="22"/>
          <w:szCs w:val="22"/>
          <w:lang w:val="en-AU"/>
        </w:rPr>
        <w:t xml:space="preserve"> to reduce </w:t>
      </w:r>
      <w:r w:rsidR="00AB118B" w:rsidRPr="00BD02A9">
        <w:rPr>
          <w:rFonts w:ascii="Arial" w:hAnsi="Arial" w:cs="Arial"/>
          <w:sz w:val="22"/>
          <w:szCs w:val="22"/>
          <w:lang w:val="en-AU"/>
        </w:rPr>
        <w:t>its</w:t>
      </w:r>
      <w:r w:rsidRPr="00BD02A9">
        <w:rPr>
          <w:rFonts w:ascii="Arial" w:hAnsi="Arial" w:cs="Arial"/>
          <w:sz w:val="22"/>
          <w:szCs w:val="22"/>
          <w:lang w:val="en-AU"/>
        </w:rPr>
        <w:t xml:space="preserve"> workforce from 16 to 6 by 2023. </w:t>
      </w:r>
      <w:proofErr w:type="spellStart"/>
      <w:r w:rsidRPr="00BD02A9">
        <w:rPr>
          <w:rFonts w:ascii="Arial" w:hAnsi="Arial" w:cs="Arial"/>
          <w:sz w:val="22"/>
          <w:szCs w:val="22"/>
          <w:lang w:val="en-AU"/>
        </w:rPr>
        <w:t>EraseIT</w:t>
      </w:r>
      <w:proofErr w:type="spellEnd"/>
      <w:r w:rsidRPr="00BD02A9">
        <w:rPr>
          <w:rFonts w:ascii="Arial" w:hAnsi="Arial" w:cs="Arial"/>
          <w:sz w:val="22"/>
          <w:szCs w:val="22"/>
          <w:lang w:val="en-AU"/>
        </w:rPr>
        <w:t xml:space="preserve"> was a critical profit centre, but the impact spread across multiple services. </w:t>
      </w:r>
    </w:p>
    <w:p w14:paraId="11B555C1" w14:textId="77777777" w:rsidR="00A14E8E" w:rsidRPr="00BD02A9" w:rsidRDefault="00A14E8E" w:rsidP="00A14E8E">
      <w:pPr>
        <w:rPr>
          <w:rFonts w:ascii="Arial" w:hAnsi="Arial" w:cs="Arial"/>
          <w:sz w:val="22"/>
          <w:szCs w:val="22"/>
          <w:lang w:val="en-AU"/>
        </w:rPr>
      </w:pPr>
    </w:p>
    <w:p w14:paraId="6BC533DB" w14:textId="71EA0DB2" w:rsidR="00627B30" w:rsidRPr="00BD02A9" w:rsidRDefault="005427E4" w:rsidP="00627B30">
      <w:pPr>
        <w:rPr>
          <w:rFonts w:ascii="Arial" w:hAnsi="Arial" w:cs="Arial"/>
          <w:sz w:val="22"/>
          <w:szCs w:val="22"/>
          <w:lang w:val="en-AU"/>
        </w:rPr>
      </w:pPr>
      <w:r w:rsidRPr="00BD02A9">
        <w:rPr>
          <w:rFonts w:ascii="Arial" w:hAnsi="Arial" w:cs="Arial"/>
          <w:sz w:val="22"/>
          <w:szCs w:val="22"/>
          <w:lang w:val="en-AU"/>
        </w:rPr>
        <w:t xml:space="preserve">As a direct result </w:t>
      </w:r>
      <w:r w:rsidR="00E97885" w:rsidRPr="00BD02A9">
        <w:rPr>
          <w:rFonts w:ascii="Arial" w:hAnsi="Arial" w:cs="Arial"/>
          <w:sz w:val="22"/>
          <w:szCs w:val="22"/>
          <w:lang w:val="en-AU"/>
        </w:rPr>
        <w:t xml:space="preserve">our client </w:t>
      </w:r>
      <w:r w:rsidRPr="00BD02A9">
        <w:rPr>
          <w:rFonts w:ascii="Arial" w:hAnsi="Arial" w:cs="Arial"/>
          <w:sz w:val="22"/>
          <w:szCs w:val="22"/>
          <w:lang w:val="en-AU"/>
        </w:rPr>
        <w:t xml:space="preserve">experienced a slowdown in </w:t>
      </w:r>
      <w:r w:rsidR="00B15AAF" w:rsidRPr="00BD02A9">
        <w:rPr>
          <w:rFonts w:ascii="Arial" w:hAnsi="Arial" w:cs="Arial"/>
          <w:sz w:val="22"/>
          <w:szCs w:val="22"/>
          <w:lang w:val="en-AU"/>
        </w:rPr>
        <w:t>its</w:t>
      </w:r>
      <w:r w:rsidRPr="00BD02A9">
        <w:rPr>
          <w:rFonts w:ascii="Arial" w:hAnsi="Arial" w:cs="Arial"/>
          <w:sz w:val="22"/>
          <w:szCs w:val="22"/>
          <w:lang w:val="en-AU"/>
        </w:rPr>
        <w:t xml:space="preserve"> debtor</w:t>
      </w:r>
      <w:r w:rsidR="000404FC" w:rsidRPr="00BD02A9">
        <w:rPr>
          <w:rFonts w:ascii="Arial" w:hAnsi="Arial" w:cs="Arial"/>
          <w:sz w:val="22"/>
          <w:szCs w:val="22"/>
          <w:lang w:val="en-AU"/>
        </w:rPr>
        <w:t>’</w:t>
      </w:r>
      <w:r w:rsidRPr="00BD02A9">
        <w:rPr>
          <w:rFonts w:ascii="Arial" w:hAnsi="Arial" w:cs="Arial"/>
          <w:sz w:val="22"/>
          <w:szCs w:val="22"/>
          <w:lang w:val="en-AU"/>
        </w:rPr>
        <w:t xml:space="preserve">s turnover which adversely effected </w:t>
      </w:r>
      <w:r w:rsidR="000716FB" w:rsidRPr="00BD02A9">
        <w:rPr>
          <w:rFonts w:ascii="Arial" w:hAnsi="Arial" w:cs="Arial"/>
          <w:sz w:val="22"/>
          <w:szCs w:val="22"/>
          <w:lang w:val="en-AU"/>
        </w:rPr>
        <w:t>their</w:t>
      </w:r>
      <w:r w:rsidRPr="00BD02A9">
        <w:rPr>
          <w:rFonts w:ascii="Arial" w:hAnsi="Arial" w:cs="Arial"/>
          <w:sz w:val="22"/>
          <w:szCs w:val="22"/>
          <w:lang w:val="en-AU"/>
        </w:rPr>
        <w:t xml:space="preserve"> ability to pay </w:t>
      </w:r>
      <w:r w:rsidR="000716FB" w:rsidRPr="00BD02A9">
        <w:rPr>
          <w:rFonts w:ascii="Arial" w:hAnsi="Arial" w:cs="Arial"/>
          <w:sz w:val="22"/>
          <w:szCs w:val="22"/>
          <w:lang w:val="en-AU"/>
        </w:rPr>
        <w:t>its</w:t>
      </w:r>
      <w:r w:rsidR="00BD6EC2" w:rsidRPr="00BD02A9">
        <w:rPr>
          <w:rFonts w:ascii="Arial" w:hAnsi="Arial" w:cs="Arial"/>
          <w:sz w:val="22"/>
          <w:szCs w:val="22"/>
          <w:lang w:val="en-AU"/>
        </w:rPr>
        <w:t xml:space="preserve"> </w:t>
      </w:r>
      <w:r w:rsidRPr="00BD02A9">
        <w:rPr>
          <w:rFonts w:ascii="Arial" w:hAnsi="Arial" w:cs="Arial"/>
          <w:sz w:val="22"/>
          <w:szCs w:val="22"/>
          <w:lang w:val="en-AU"/>
        </w:rPr>
        <w:t>bills on time</w:t>
      </w:r>
      <w:r w:rsidR="00627B30">
        <w:rPr>
          <w:rFonts w:ascii="Arial" w:hAnsi="Arial" w:cs="Arial"/>
          <w:sz w:val="22"/>
          <w:szCs w:val="22"/>
          <w:lang w:val="en-AU"/>
        </w:rPr>
        <w:t xml:space="preserve">, </w:t>
      </w:r>
      <w:r w:rsidR="00627B30">
        <w:rPr>
          <w:rFonts w:ascii="Arial" w:hAnsi="Arial" w:cs="Arial"/>
          <w:sz w:val="22"/>
          <w:szCs w:val="22"/>
          <w:lang w:val="en-AU"/>
        </w:rPr>
        <w:t>which prevented timely payment of tax debts.</w:t>
      </w:r>
    </w:p>
    <w:p w14:paraId="74A78814" w14:textId="076339F8" w:rsidR="00A14E8E" w:rsidRDefault="00A14E8E" w:rsidP="00A14E8E">
      <w:pPr>
        <w:rPr>
          <w:rFonts w:ascii="Arial" w:hAnsi="Arial" w:cs="Arial"/>
          <w:sz w:val="22"/>
          <w:szCs w:val="22"/>
          <w:lang w:val="en-AU"/>
        </w:rPr>
      </w:pPr>
    </w:p>
    <w:p w14:paraId="71D27D24" w14:textId="0215E85F" w:rsidR="00627B30" w:rsidRPr="00BD02A9" w:rsidRDefault="00DC560F" w:rsidP="00627B30">
      <w:pPr>
        <w:rPr>
          <w:rFonts w:ascii="Arial" w:hAnsi="Arial" w:cs="Arial"/>
          <w:sz w:val="22"/>
          <w:szCs w:val="22"/>
          <w:lang w:val="en-AU"/>
        </w:rPr>
      </w:pPr>
      <w:r>
        <w:rPr>
          <w:rFonts w:ascii="Arial" w:hAnsi="Arial" w:cs="Arial"/>
          <w:sz w:val="22"/>
          <w:szCs w:val="22"/>
          <w:lang w:val="en-AU"/>
        </w:rPr>
        <w:t>O</w:t>
      </w:r>
      <w:r w:rsidR="00EB6B44">
        <w:rPr>
          <w:rFonts w:ascii="Arial" w:hAnsi="Arial" w:cs="Arial"/>
          <w:sz w:val="22"/>
          <w:szCs w:val="22"/>
          <w:lang w:val="en-AU"/>
        </w:rPr>
        <w:t>ur client ha</w:t>
      </w:r>
      <w:r>
        <w:rPr>
          <w:rFonts w:ascii="Arial" w:hAnsi="Arial" w:cs="Arial"/>
          <w:sz w:val="22"/>
          <w:szCs w:val="22"/>
          <w:lang w:val="en-AU"/>
        </w:rPr>
        <w:t xml:space="preserve">s also </w:t>
      </w:r>
      <w:r w:rsidR="00EB6B44">
        <w:rPr>
          <w:rFonts w:ascii="Arial" w:hAnsi="Arial" w:cs="Arial"/>
          <w:sz w:val="22"/>
          <w:szCs w:val="22"/>
          <w:lang w:val="en-AU"/>
        </w:rPr>
        <w:t>written off $X in bad debts in the last three years</w:t>
      </w:r>
      <w:r w:rsidR="00627B30">
        <w:rPr>
          <w:rFonts w:ascii="Arial" w:hAnsi="Arial" w:cs="Arial"/>
          <w:sz w:val="22"/>
          <w:szCs w:val="22"/>
          <w:lang w:val="en-AU"/>
        </w:rPr>
        <w:t>,</w:t>
      </w:r>
      <w:r w:rsidR="00627B30" w:rsidRPr="00627B30">
        <w:rPr>
          <w:rFonts w:ascii="Arial" w:hAnsi="Arial" w:cs="Arial"/>
          <w:sz w:val="22"/>
          <w:szCs w:val="22"/>
          <w:lang w:val="en-AU"/>
        </w:rPr>
        <w:t xml:space="preserve"> </w:t>
      </w:r>
      <w:r w:rsidR="00627B30">
        <w:rPr>
          <w:rFonts w:ascii="Arial" w:hAnsi="Arial" w:cs="Arial"/>
          <w:sz w:val="22"/>
          <w:szCs w:val="22"/>
          <w:lang w:val="en-AU"/>
        </w:rPr>
        <w:t>which prevented timely payment of tax debts.</w:t>
      </w:r>
    </w:p>
    <w:p w14:paraId="3F3BC8DE" w14:textId="77777777" w:rsidR="00F406C4" w:rsidRDefault="00F406C4" w:rsidP="00A14E8E">
      <w:pPr>
        <w:rPr>
          <w:rFonts w:ascii="Arial" w:hAnsi="Arial" w:cs="Arial"/>
          <w:sz w:val="22"/>
          <w:szCs w:val="22"/>
          <w:lang w:val="en-AU"/>
        </w:rPr>
      </w:pPr>
    </w:p>
    <w:p w14:paraId="54E96FB3" w14:textId="2BC1D14D" w:rsidR="00F406C4" w:rsidRPr="00BD02A9" w:rsidRDefault="00F406C4" w:rsidP="00A14E8E">
      <w:pPr>
        <w:rPr>
          <w:rFonts w:ascii="Arial" w:hAnsi="Arial" w:cs="Arial"/>
          <w:sz w:val="22"/>
          <w:szCs w:val="22"/>
          <w:lang w:val="en-AU"/>
        </w:rPr>
      </w:pPr>
      <w:r>
        <w:rPr>
          <w:rFonts w:ascii="Arial" w:hAnsi="Arial" w:cs="Arial"/>
          <w:sz w:val="22"/>
          <w:szCs w:val="22"/>
          <w:lang w:val="en-AU"/>
        </w:rPr>
        <w:t xml:space="preserve">Our client recently had a major client </w:t>
      </w:r>
      <w:proofErr w:type="gramStart"/>
      <w:r>
        <w:rPr>
          <w:rFonts w:ascii="Arial" w:hAnsi="Arial" w:cs="Arial"/>
          <w:sz w:val="22"/>
          <w:szCs w:val="22"/>
          <w:lang w:val="en-AU"/>
        </w:rPr>
        <w:t>enter into</w:t>
      </w:r>
      <w:proofErr w:type="gramEnd"/>
      <w:r>
        <w:rPr>
          <w:rFonts w:ascii="Arial" w:hAnsi="Arial" w:cs="Arial"/>
          <w:sz w:val="22"/>
          <w:szCs w:val="22"/>
          <w:lang w:val="en-AU"/>
        </w:rPr>
        <w:t xml:space="preserve"> </w:t>
      </w:r>
      <w:r w:rsidR="00A45D48">
        <w:rPr>
          <w:rFonts w:ascii="Arial" w:hAnsi="Arial" w:cs="Arial"/>
          <w:sz w:val="22"/>
          <w:szCs w:val="22"/>
          <w:lang w:val="en-AU"/>
        </w:rPr>
        <w:t>administration and liquidation, which resulted in $x being written and significant cash flow issues, which prevente</w:t>
      </w:r>
      <w:r w:rsidR="00627B30">
        <w:rPr>
          <w:rFonts w:ascii="Arial" w:hAnsi="Arial" w:cs="Arial"/>
          <w:sz w:val="22"/>
          <w:szCs w:val="22"/>
          <w:lang w:val="en-AU"/>
        </w:rPr>
        <w:t>d timely payment of tax debts.</w:t>
      </w:r>
    </w:p>
    <w:p w14:paraId="5A1C6598" w14:textId="77777777" w:rsidR="00A14E8E" w:rsidRDefault="00A14E8E" w:rsidP="00A14E8E">
      <w:pPr>
        <w:jc w:val="both"/>
        <w:rPr>
          <w:rFonts w:ascii="Arial" w:hAnsi="Arial" w:cs="Arial"/>
          <w:b/>
          <w:bCs/>
          <w:sz w:val="22"/>
          <w:szCs w:val="22"/>
          <w:lang w:val="en-AU"/>
        </w:rPr>
      </w:pPr>
    </w:p>
    <w:p w14:paraId="164DB311" w14:textId="23F16026" w:rsidR="00DC560F" w:rsidRDefault="00DC560F" w:rsidP="00A14E8E">
      <w:pPr>
        <w:jc w:val="both"/>
        <w:rPr>
          <w:rFonts w:ascii="Arial" w:hAnsi="Arial" w:cs="Arial"/>
          <w:b/>
          <w:bCs/>
          <w:sz w:val="22"/>
          <w:szCs w:val="22"/>
          <w:lang w:val="en-AU"/>
        </w:rPr>
      </w:pPr>
      <w:r>
        <w:rPr>
          <w:rFonts w:ascii="Arial" w:hAnsi="Arial" w:cs="Arial"/>
          <w:b/>
          <w:bCs/>
          <w:sz w:val="22"/>
          <w:szCs w:val="22"/>
          <w:lang w:val="en-AU"/>
        </w:rPr>
        <w:t xml:space="preserve">Our client has experienced significant supply chain </w:t>
      </w:r>
      <w:r w:rsidR="00EA5FB8">
        <w:rPr>
          <w:rFonts w:ascii="Arial" w:hAnsi="Arial" w:cs="Arial"/>
          <w:b/>
          <w:bCs/>
          <w:sz w:val="22"/>
          <w:szCs w:val="22"/>
          <w:lang w:val="en-AU"/>
        </w:rPr>
        <w:t xml:space="preserve">issues since 2020, which has resulted in them incurred additional costs of x% on the </w:t>
      </w:r>
      <w:r w:rsidR="006576BC">
        <w:rPr>
          <w:rFonts w:ascii="Arial" w:hAnsi="Arial" w:cs="Arial"/>
          <w:b/>
          <w:bCs/>
          <w:sz w:val="22"/>
          <w:szCs w:val="22"/>
          <w:lang w:val="en-AU"/>
        </w:rPr>
        <w:t>purchasing costs, most of which they have had to absorb and as such their business margins have decreased by x%.</w:t>
      </w:r>
    </w:p>
    <w:p w14:paraId="232C0412" w14:textId="77777777" w:rsidR="00DC560F" w:rsidRDefault="00DC560F" w:rsidP="00A14E8E">
      <w:pPr>
        <w:jc w:val="both"/>
        <w:rPr>
          <w:rFonts w:ascii="Arial" w:hAnsi="Arial" w:cs="Arial"/>
          <w:b/>
          <w:bCs/>
          <w:sz w:val="22"/>
          <w:szCs w:val="22"/>
          <w:lang w:val="en-AU"/>
        </w:rPr>
      </w:pPr>
    </w:p>
    <w:p w14:paraId="544C1A98" w14:textId="77777777" w:rsidR="00DC560F" w:rsidRPr="00BD02A9" w:rsidRDefault="00DC560F" w:rsidP="00A14E8E">
      <w:pPr>
        <w:jc w:val="both"/>
        <w:rPr>
          <w:rFonts w:ascii="Arial" w:hAnsi="Arial" w:cs="Arial"/>
          <w:b/>
          <w:bCs/>
          <w:sz w:val="22"/>
          <w:szCs w:val="22"/>
          <w:lang w:val="en-AU"/>
        </w:rPr>
      </w:pPr>
    </w:p>
    <w:p w14:paraId="0E725BA7" w14:textId="5EA030F1" w:rsidR="00A14E8E" w:rsidRPr="00BD02A9" w:rsidRDefault="00A14E8E" w:rsidP="00A14E8E">
      <w:pPr>
        <w:jc w:val="both"/>
        <w:rPr>
          <w:rFonts w:ascii="Arial" w:hAnsi="Arial" w:cs="Arial"/>
          <w:b/>
          <w:bCs/>
          <w:sz w:val="22"/>
          <w:szCs w:val="22"/>
          <w:lang w:val="en-AU"/>
        </w:rPr>
      </w:pPr>
      <w:r w:rsidRPr="00BD02A9">
        <w:rPr>
          <w:rFonts w:ascii="Arial" w:hAnsi="Arial" w:cs="Arial"/>
          <w:b/>
          <w:bCs/>
          <w:sz w:val="22"/>
          <w:szCs w:val="22"/>
          <w:lang w:val="en-AU"/>
        </w:rPr>
        <w:t>2. C</w:t>
      </w:r>
      <w:r w:rsidR="00580081" w:rsidRPr="00BD02A9">
        <w:rPr>
          <w:rFonts w:ascii="Arial" w:hAnsi="Arial" w:cs="Arial"/>
          <w:b/>
          <w:bCs/>
          <w:sz w:val="22"/>
          <w:szCs w:val="22"/>
          <w:lang w:val="en-AU"/>
        </w:rPr>
        <w:t>RITICAL STAFF TURNOVER</w:t>
      </w:r>
      <w:r w:rsidR="0056092A" w:rsidRPr="00BD02A9">
        <w:rPr>
          <w:rFonts w:ascii="Arial" w:hAnsi="Arial" w:cs="Arial"/>
          <w:b/>
          <w:bCs/>
          <w:sz w:val="22"/>
          <w:szCs w:val="22"/>
          <w:lang w:val="en-AU"/>
        </w:rPr>
        <w:t xml:space="preserve">, IT AND ACCOUNTING </w:t>
      </w:r>
      <w:r w:rsidR="00580081" w:rsidRPr="00BD02A9">
        <w:rPr>
          <w:rFonts w:ascii="Arial" w:hAnsi="Arial" w:cs="Arial"/>
          <w:b/>
          <w:bCs/>
          <w:sz w:val="22"/>
          <w:szCs w:val="22"/>
          <w:lang w:val="en-AU"/>
        </w:rPr>
        <w:t>SYSTEM</w:t>
      </w:r>
      <w:r w:rsidR="00B924AA" w:rsidRPr="00BD02A9">
        <w:rPr>
          <w:rFonts w:ascii="Arial" w:hAnsi="Arial" w:cs="Arial"/>
          <w:b/>
          <w:bCs/>
          <w:sz w:val="22"/>
          <w:szCs w:val="22"/>
          <w:lang w:val="en-AU"/>
        </w:rPr>
        <w:t>S</w:t>
      </w:r>
      <w:r w:rsidR="00580081" w:rsidRPr="00BD02A9">
        <w:rPr>
          <w:rFonts w:ascii="Arial" w:hAnsi="Arial" w:cs="Arial"/>
          <w:b/>
          <w:bCs/>
          <w:sz w:val="22"/>
          <w:szCs w:val="22"/>
          <w:lang w:val="en-AU"/>
        </w:rPr>
        <w:t xml:space="preserve"> FAILURES </w:t>
      </w:r>
    </w:p>
    <w:p w14:paraId="5432CA91" w14:textId="77777777" w:rsidR="00A14E8E" w:rsidRPr="00BD02A9" w:rsidRDefault="00A14E8E" w:rsidP="00A14E8E">
      <w:pPr>
        <w:jc w:val="both"/>
        <w:rPr>
          <w:rFonts w:ascii="Arial" w:hAnsi="Arial" w:cs="Arial"/>
          <w:sz w:val="22"/>
          <w:szCs w:val="22"/>
          <w:lang w:val="en-AU"/>
        </w:rPr>
      </w:pPr>
    </w:p>
    <w:p w14:paraId="3B91FFA8" w14:textId="454DA971" w:rsidR="00A14E8E" w:rsidRPr="00BD02A9" w:rsidRDefault="00A14E8E" w:rsidP="00A14E8E">
      <w:pPr>
        <w:rPr>
          <w:rFonts w:ascii="Arial" w:hAnsi="Arial" w:cs="Arial"/>
          <w:sz w:val="22"/>
          <w:szCs w:val="22"/>
          <w:lang w:val="en-AU"/>
        </w:rPr>
      </w:pPr>
      <w:r w:rsidRPr="00BD02A9">
        <w:rPr>
          <w:rFonts w:ascii="Arial" w:hAnsi="Arial" w:cs="Arial"/>
          <w:sz w:val="22"/>
          <w:szCs w:val="22"/>
          <w:lang w:val="en-AU"/>
        </w:rPr>
        <w:t xml:space="preserve">In November 2022, CFO, </w:t>
      </w:r>
      <w:r w:rsidR="005A0F54">
        <w:rPr>
          <w:rFonts w:ascii="Arial" w:hAnsi="Arial" w:cs="Arial"/>
          <w:sz w:val="22"/>
          <w:szCs w:val="22"/>
          <w:lang w:val="en-AU"/>
        </w:rPr>
        <w:t xml:space="preserve">xxx </w:t>
      </w:r>
      <w:proofErr w:type="spellStart"/>
      <w:r w:rsidR="005A0F54">
        <w:rPr>
          <w:rFonts w:ascii="Arial" w:hAnsi="Arial" w:cs="Arial"/>
          <w:sz w:val="22"/>
          <w:szCs w:val="22"/>
          <w:lang w:val="en-AU"/>
        </w:rPr>
        <w:t>xxx</w:t>
      </w:r>
      <w:proofErr w:type="spellEnd"/>
      <w:r w:rsidRPr="00BD02A9">
        <w:rPr>
          <w:rFonts w:ascii="Arial" w:hAnsi="Arial" w:cs="Arial"/>
          <w:sz w:val="22"/>
          <w:szCs w:val="22"/>
          <w:lang w:val="en-AU"/>
        </w:rPr>
        <w:t xml:space="preserve">, retired unexpectedly, leaving the accounting function under the management of </w:t>
      </w:r>
      <w:r w:rsidR="009141BB">
        <w:rPr>
          <w:rFonts w:ascii="Arial" w:hAnsi="Arial" w:cs="Arial"/>
          <w:sz w:val="22"/>
          <w:szCs w:val="22"/>
          <w:lang w:val="en-AU"/>
        </w:rPr>
        <w:t xml:space="preserve">xxx </w:t>
      </w:r>
      <w:proofErr w:type="spellStart"/>
      <w:r w:rsidR="009141BB">
        <w:rPr>
          <w:rFonts w:ascii="Arial" w:hAnsi="Arial" w:cs="Arial"/>
          <w:sz w:val="22"/>
          <w:szCs w:val="22"/>
          <w:lang w:val="en-AU"/>
        </w:rPr>
        <w:t>xxx</w:t>
      </w:r>
      <w:proofErr w:type="spellEnd"/>
      <w:r w:rsidRPr="00BD02A9">
        <w:rPr>
          <w:rFonts w:ascii="Arial" w:hAnsi="Arial" w:cs="Arial"/>
          <w:sz w:val="22"/>
          <w:szCs w:val="22"/>
          <w:lang w:val="en-AU"/>
        </w:rPr>
        <w:t xml:space="preserve">, a relatively junior accountant. Unfortunately, the full extent of the issues with financial records only became apparent when </w:t>
      </w:r>
      <w:r w:rsidR="009141BB">
        <w:rPr>
          <w:rFonts w:ascii="Arial" w:hAnsi="Arial" w:cs="Arial"/>
          <w:sz w:val="22"/>
          <w:szCs w:val="22"/>
          <w:lang w:val="en-AU"/>
        </w:rPr>
        <w:t xml:space="preserve">xxx </w:t>
      </w:r>
      <w:proofErr w:type="spellStart"/>
      <w:r w:rsidR="009141BB">
        <w:rPr>
          <w:rFonts w:ascii="Arial" w:hAnsi="Arial" w:cs="Arial"/>
          <w:sz w:val="22"/>
          <w:szCs w:val="22"/>
          <w:lang w:val="en-AU"/>
        </w:rPr>
        <w:t>xxx</w:t>
      </w:r>
      <w:proofErr w:type="spellEnd"/>
      <w:r w:rsidRPr="00BD02A9">
        <w:rPr>
          <w:rFonts w:ascii="Arial" w:hAnsi="Arial" w:cs="Arial"/>
          <w:sz w:val="22"/>
          <w:szCs w:val="22"/>
          <w:lang w:val="en-AU"/>
        </w:rPr>
        <w:t xml:space="preserve"> Liyanage subsequently resigned unexpectedly in March 2023.</w:t>
      </w:r>
    </w:p>
    <w:p w14:paraId="6B09A7D8" w14:textId="77777777" w:rsidR="00A14E8E" w:rsidRPr="00BD02A9" w:rsidRDefault="00A14E8E" w:rsidP="00A14E8E">
      <w:pPr>
        <w:rPr>
          <w:rFonts w:ascii="Arial" w:hAnsi="Arial" w:cs="Arial"/>
          <w:sz w:val="22"/>
          <w:szCs w:val="22"/>
          <w:lang w:val="en-AU"/>
        </w:rPr>
      </w:pPr>
    </w:p>
    <w:p w14:paraId="6C79052C" w14:textId="1F286B92" w:rsidR="00A14E8E" w:rsidRPr="00BD02A9" w:rsidRDefault="00A14E8E" w:rsidP="00A14E8E">
      <w:pPr>
        <w:rPr>
          <w:rFonts w:ascii="Arial" w:hAnsi="Arial" w:cs="Arial"/>
          <w:sz w:val="22"/>
          <w:szCs w:val="22"/>
          <w:lang w:val="en-AU"/>
        </w:rPr>
      </w:pPr>
      <w:r w:rsidRPr="00BD02A9">
        <w:rPr>
          <w:rFonts w:ascii="Arial" w:hAnsi="Arial" w:cs="Arial"/>
          <w:sz w:val="22"/>
          <w:szCs w:val="22"/>
          <w:lang w:val="en-AU"/>
        </w:rPr>
        <w:t xml:space="preserve">During Mr. </w:t>
      </w:r>
      <w:r w:rsidR="005E66B7">
        <w:rPr>
          <w:rFonts w:ascii="Arial" w:hAnsi="Arial" w:cs="Arial"/>
          <w:sz w:val="22"/>
          <w:szCs w:val="22"/>
          <w:lang w:val="en-AU"/>
        </w:rPr>
        <w:t>X’</w:t>
      </w:r>
      <w:r w:rsidRPr="00BD02A9">
        <w:rPr>
          <w:rFonts w:ascii="Arial" w:hAnsi="Arial" w:cs="Arial"/>
          <w:sz w:val="22"/>
          <w:szCs w:val="22"/>
          <w:lang w:val="en-AU"/>
        </w:rPr>
        <w:t xml:space="preserve">s tenure, </w:t>
      </w:r>
      <w:r w:rsidR="00647D01" w:rsidRPr="00BD02A9">
        <w:rPr>
          <w:rFonts w:ascii="Arial" w:hAnsi="Arial" w:cs="Arial"/>
          <w:sz w:val="22"/>
          <w:szCs w:val="22"/>
          <w:lang w:val="en-AU"/>
        </w:rPr>
        <w:t xml:space="preserve">our client </w:t>
      </w:r>
      <w:r w:rsidRPr="00BD02A9">
        <w:rPr>
          <w:rFonts w:ascii="Arial" w:hAnsi="Arial" w:cs="Arial"/>
          <w:sz w:val="22"/>
          <w:szCs w:val="22"/>
          <w:lang w:val="en-AU"/>
        </w:rPr>
        <w:t xml:space="preserve">had attempted to implement Oracle’s NetSuite, an enterprise resource planning </w:t>
      </w:r>
      <w:r w:rsidR="00947AC3" w:rsidRPr="00BD02A9">
        <w:rPr>
          <w:rFonts w:ascii="Arial" w:hAnsi="Arial" w:cs="Arial"/>
          <w:sz w:val="22"/>
          <w:szCs w:val="22"/>
          <w:lang w:val="en-AU"/>
        </w:rPr>
        <w:t xml:space="preserve">(ERP) </w:t>
      </w:r>
      <w:r w:rsidRPr="00BD02A9">
        <w:rPr>
          <w:rFonts w:ascii="Arial" w:hAnsi="Arial" w:cs="Arial"/>
          <w:sz w:val="22"/>
          <w:szCs w:val="22"/>
          <w:lang w:val="en-AU"/>
        </w:rPr>
        <w:t xml:space="preserve">software system. However, the implementation subsequently failed as the system was configured using custom tables instead of the standard out-of-box features. This added unnecessary complexity, rendering </w:t>
      </w:r>
      <w:r w:rsidR="00947AC3" w:rsidRPr="00BD02A9">
        <w:rPr>
          <w:rFonts w:ascii="Arial" w:hAnsi="Arial" w:cs="Arial"/>
          <w:sz w:val="22"/>
          <w:szCs w:val="22"/>
          <w:lang w:val="en-AU"/>
        </w:rPr>
        <w:t xml:space="preserve">our client </w:t>
      </w:r>
      <w:r w:rsidRPr="00BD02A9">
        <w:rPr>
          <w:rFonts w:ascii="Arial" w:hAnsi="Arial" w:cs="Arial"/>
          <w:sz w:val="22"/>
          <w:szCs w:val="22"/>
          <w:lang w:val="en-AU"/>
        </w:rPr>
        <w:t xml:space="preserve">unable to run standard financial reports or manage financial processes effectively. With hindsight, the system was not configured to meet our </w:t>
      </w:r>
      <w:r w:rsidR="00447693" w:rsidRPr="00BD02A9">
        <w:rPr>
          <w:rFonts w:ascii="Arial" w:hAnsi="Arial" w:cs="Arial"/>
          <w:sz w:val="22"/>
          <w:szCs w:val="22"/>
          <w:lang w:val="en-AU"/>
        </w:rPr>
        <w:t xml:space="preserve">client’s </w:t>
      </w:r>
      <w:r w:rsidRPr="00BD02A9">
        <w:rPr>
          <w:rFonts w:ascii="Arial" w:hAnsi="Arial" w:cs="Arial"/>
          <w:sz w:val="22"/>
          <w:szCs w:val="22"/>
          <w:lang w:val="en-AU"/>
        </w:rPr>
        <w:t>business needs, resulting in significant operational inefficiencies.</w:t>
      </w:r>
    </w:p>
    <w:p w14:paraId="79C864FD" w14:textId="77777777" w:rsidR="00A14E8E" w:rsidRPr="00BD02A9" w:rsidRDefault="00A14E8E" w:rsidP="00A14E8E">
      <w:pPr>
        <w:rPr>
          <w:rFonts w:ascii="Arial" w:hAnsi="Arial" w:cs="Arial"/>
          <w:sz w:val="22"/>
          <w:szCs w:val="22"/>
          <w:lang w:val="en-AU"/>
        </w:rPr>
      </w:pPr>
    </w:p>
    <w:p w14:paraId="17D72F6E" w14:textId="00A91DB1" w:rsidR="00A14E8E" w:rsidRPr="00BD02A9" w:rsidRDefault="00A14E8E" w:rsidP="00A14E8E">
      <w:pPr>
        <w:rPr>
          <w:rFonts w:ascii="Arial" w:hAnsi="Arial" w:cs="Arial"/>
          <w:sz w:val="22"/>
          <w:szCs w:val="22"/>
          <w:lang w:val="en-AU"/>
        </w:rPr>
      </w:pPr>
      <w:r w:rsidRPr="00BD02A9">
        <w:rPr>
          <w:rFonts w:ascii="Arial" w:hAnsi="Arial" w:cs="Arial"/>
          <w:sz w:val="22"/>
          <w:szCs w:val="22"/>
          <w:lang w:val="en-AU"/>
        </w:rPr>
        <w:t xml:space="preserve">Senior NetSuite staff from the Asia-Pacific and U.S. regions later reviewed our </w:t>
      </w:r>
      <w:r w:rsidR="00F81476" w:rsidRPr="00BD02A9">
        <w:rPr>
          <w:rFonts w:ascii="Arial" w:hAnsi="Arial" w:cs="Arial"/>
          <w:sz w:val="22"/>
          <w:szCs w:val="22"/>
          <w:lang w:val="en-AU"/>
        </w:rPr>
        <w:t>client’s NetSuite i</w:t>
      </w:r>
      <w:r w:rsidRPr="00BD02A9">
        <w:rPr>
          <w:rFonts w:ascii="Arial" w:hAnsi="Arial" w:cs="Arial"/>
          <w:sz w:val="22"/>
          <w:szCs w:val="22"/>
          <w:lang w:val="en-AU"/>
        </w:rPr>
        <w:t xml:space="preserve">mplementation and confirmed that the failure was the fault of the </w:t>
      </w:r>
      <w:r w:rsidR="00731825" w:rsidRPr="00BD02A9">
        <w:rPr>
          <w:rFonts w:ascii="Arial" w:hAnsi="Arial" w:cs="Arial"/>
          <w:sz w:val="22"/>
          <w:szCs w:val="22"/>
          <w:lang w:val="en-AU"/>
        </w:rPr>
        <w:t xml:space="preserve">Australian </w:t>
      </w:r>
      <w:r w:rsidRPr="00BD02A9">
        <w:rPr>
          <w:rFonts w:ascii="Arial" w:hAnsi="Arial" w:cs="Arial"/>
          <w:sz w:val="22"/>
          <w:szCs w:val="22"/>
          <w:lang w:val="en-AU"/>
        </w:rPr>
        <w:t xml:space="preserve">reseller. </w:t>
      </w:r>
      <w:r w:rsidR="006856E5" w:rsidRPr="00BD02A9">
        <w:rPr>
          <w:rFonts w:ascii="Arial" w:hAnsi="Arial" w:cs="Arial"/>
          <w:sz w:val="22"/>
          <w:szCs w:val="22"/>
          <w:lang w:val="en-AU"/>
        </w:rPr>
        <w:t>Net</w:t>
      </w:r>
      <w:r w:rsidR="00731825" w:rsidRPr="00BD02A9">
        <w:rPr>
          <w:rFonts w:ascii="Arial" w:hAnsi="Arial" w:cs="Arial"/>
          <w:sz w:val="22"/>
          <w:szCs w:val="22"/>
          <w:lang w:val="en-AU"/>
        </w:rPr>
        <w:t xml:space="preserve">Suite </w:t>
      </w:r>
      <w:r w:rsidRPr="00BD02A9">
        <w:rPr>
          <w:rFonts w:ascii="Arial" w:hAnsi="Arial" w:cs="Arial"/>
          <w:sz w:val="22"/>
          <w:szCs w:val="22"/>
          <w:lang w:val="en-AU"/>
        </w:rPr>
        <w:t>acknowledged that the system had been improperly configured using custom tables, bypassing standard features and resulting in ongoing manual processes, such as manual invoicing, that were error-prone and inefficient.</w:t>
      </w:r>
    </w:p>
    <w:p w14:paraId="354349A1" w14:textId="77777777" w:rsidR="00A14E8E" w:rsidRPr="00BD02A9" w:rsidRDefault="00A14E8E" w:rsidP="00A14E8E">
      <w:pPr>
        <w:rPr>
          <w:rFonts w:ascii="Arial" w:hAnsi="Arial" w:cs="Arial"/>
          <w:sz w:val="22"/>
          <w:szCs w:val="22"/>
          <w:lang w:val="en-AU"/>
        </w:rPr>
      </w:pPr>
    </w:p>
    <w:p w14:paraId="716C87F1" w14:textId="2B7C61DD" w:rsidR="00A14E8E" w:rsidRPr="00BD02A9" w:rsidRDefault="00A14E8E" w:rsidP="00A14E8E">
      <w:pPr>
        <w:rPr>
          <w:rFonts w:ascii="Arial" w:hAnsi="Arial" w:cs="Arial"/>
          <w:sz w:val="22"/>
          <w:szCs w:val="22"/>
          <w:lang w:val="en-AU"/>
        </w:rPr>
      </w:pPr>
      <w:r w:rsidRPr="00BD02A9">
        <w:rPr>
          <w:rFonts w:ascii="Arial" w:hAnsi="Arial" w:cs="Arial"/>
          <w:sz w:val="22"/>
          <w:szCs w:val="22"/>
          <w:lang w:val="en-AU"/>
        </w:rPr>
        <w:t xml:space="preserve">As a result of this confirmation, </w:t>
      </w:r>
      <w:r w:rsidR="00CD44CE" w:rsidRPr="00BD02A9">
        <w:rPr>
          <w:rFonts w:ascii="Arial" w:hAnsi="Arial" w:cs="Arial"/>
          <w:sz w:val="22"/>
          <w:szCs w:val="22"/>
          <w:lang w:val="en-AU"/>
        </w:rPr>
        <w:t>our client was</w:t>
      </w:r>
      <w:r w:rsidRPr="00BD02A9">
        <w:rPr>
          <w:rFonts w:ascii="Arial" w:hAnsi="Arial" w:cs="Arial"/>
          <w:sz w:val="22"/>
          <w:szCs w:val="22"/>
          <w:lang w:val="en-AU"/>
        </w:rPr>
        <w:t xml:space="preserve"> offered a 72% discount on </w:t>
      </w:r>
      <w:r w:rsidR="00F81476" w:rsidRPr="00BD02A9">
        <w:rPr>
          <w:rFonts w:ascii="Arial" w:hAnsi="Arial" w:cs="Arial"/>
          <w:sz w:val="22"/>
          <w:szCs w:val="22"/>
          <w:lang w:val="en-AU"/>
        </w:rPr>
        <w:t>their</w:t>
      </w:r>
      <w:r w:rsidRPr="00BD02A9">
        <w:rPr>
          <w:rFonts w:ascii="Arial" w:hAnsi="Arial" w:cs="Arial"/>
          <w:sz w:val="22"/>
          <w:szCs w:val="22"/>
          <w:lang w:val="en-AU"/>
        </w:rPr>
        <w:t xml:space="preserve"> ongoing NetSuite fees as compensation, a decision that required Senior VP-level approval. Despite this, the system remained plagued with issues, which affected our ability to produce accurate financial reports in a timely manner. </w:t>
      </w:r>
      <w:r w:rsidR="0027371A" w:rsidRPr="00BD02A9">
        <w:rPr>
          <w:rFonts w:ascii="Arial" w:hAnsi="Arial" w:cs="Arial"/>
          <w:sz w:val="22"/>
          <w:szCs w:val="22"/>
          <w:lang w:val="en-AU"/>
        </w:rPr>
        <w:t>Our client</w:t>
      </w:r>
      <w:r w:rsidRPr="00BD02A9">
        <w:rPr>
          <w:rFonts w:ascii="Arial" w:hAnsi="Arial" w:cs="Arial"/>
          <w:sz w:val="22"/>
          <w:szCs w:val="22"/>
          <w:lang w:val="en-AU"/>
        </w:rPr>
        <w:t xml:space="preserve"> relied on the accountant’s communication about these issues, but due to the lack of standard reporting functionality and the highly manual nature of our</w:t>
      </w:r>
      <w:r w:rsidR="001A49D7" w:rsidRPr="00BD02A9">
        <w:rPr>
          <w:rFonts w:ascii="Arial" w:hAnsi="Arial" w:cs="Arial"/>
          <w:sz w:val="22"/>
          <w:szCs w:val="22"/>
          <w:lang w:val="en-AU"/>
        </w:rPr>
        <w:t xml:space="preserve"> client’s IT</w:t>
      </w:r>
      <w:r w:rsidRPr="00BD02A9">
        <w:rPr>
          <w:rFonts w:ascii="Arial" w:hAnsi="Arial" w:cs="Arial"/>
          <w:sz w:val="22"/>
          <w:szCs w:val="22"/>
          <w:lang w:val="en-AU"/>
        </w:rPr>
        <w:t xml:space="preserve"> processes, it was difficult to spot and resolve errors effectively.</w:t>
      </w:r>
    </w:p>
    <w:p w14:paraId="6BA81C50" w14:textId="77777777" w:rsidR="00A14E8E" w:rsidRPr="00BD02A9" w:rsidRDefault="00A14E8E" w:rsidP="00A14E8E">
      <w:pPr>
        <w:rPr>
          <w:rFonts w:ascii="Arial" w:hAnsi="Arial" w:cs="Arial"/>
          <w:sz w:val="22"/>
          <w:szCs w:val="22"/>
          <w:lang w:val="en-AU"/>
        </w:rPr>
      </w:pPr>
    </w:p>
    <w:p w14:paraId="6AFB6493" w14:textId="476B135F" w:rsidR="00A14E8E" w:rsidRPr="00BD02A9" w:rsidRDefault="00A14E8E" w:rsidP="00A14E8E">
      <w:pPr>
        <w:rPr>
          <w:rFonts w:ascii="Arial" w:hAnsi="Arial" w:cs="Arial"/>
          <w:sz w:val="22"/>
          <w:szCs w:val="22"/>
          <w:lang w:val="en-AU"/>
        </w:rPr>
      </w:pPr>
      <w:r w:rsidRPr="00BD02A9">
        <w:rPr>
          <w:rFonts w:ascii="Arial" w:hAnsi="Arial" w:cs="Arial"/>
          <w:sz w:val="22"/>
          <w:szCs w:val="22"/>
          <w:lang w:val="en-AU"/>
        </w:rPr>
        <w:t>In March 2023</w:t>
      </w:r>
      <w:r w:rsidR="00EF3F6C" w:rsidRPr="00BD02A9">
        <w:rPr>
          <w:rFonts w:ascii="Arial" w:hAnsi="Arial" w:cs="Arial"/>
          <w:sz w:val="22"/>
          <w:szCs w:val="22"/>
          <w:lang w:val="en-AU"/>
        </w:rPr>
        <w:t xml:space="preserve"> after</w:t>
      </w:r>
      <w:r w:rsidRPr="00BD02A9">
        <w:rPr>
          <w:rFonts w:ascii="Arial" w:hAnsi="Arial" w:cs="Arial"/>
          <w:sz w:val="22"/>
          <w:szCs w:val="22"/>
          <w:lang w:val="en-AU"/>
        </w:rPr>
        <w:t xml:space="preserve"> </w:t>
      </w:r>
      <w:r w:rsidR="001707B2" w:rsidRPr="00BD02A9">
        <w:rPr>
          <w:rFonts w:ascii="Arial" w:hAnsi="Arial" w:cs="Arial"/>
          <w:sz w:val="22"/>
          <w:szCs w:val="22"/>
          <w:lang w:val="en-AU"/>
        </w:rPr>
        <w:t xml:space="preserve">Mr </w:t>
      </w:r>
      <w:r w:rsidR="005E66B7">
        <w:rPr>
          <w:rFonts w:ascii="Arial" w:hAnsi="Arial" w:cs="Arial"/>
          <w:sz w:val="22"/>
          <w:szCs w:val="22"/>
          <w:lang w:val="en-AU"/>
        </w:rPr>
        <w:t xml:space="preserve">xxx </w:t>
      </w:r>
      <w:proofErr w:type="spellStart"/>
      <w:r w:rsidR="005E66B7">
        <w:rPr>
          <w:rFonts w:ascii="Arial" w:hAnsi="Arial" w:cs="Arial"/>
          <w:sz w:val="22"/>
          <w:szCs w:val="22"/>
          <w:lang w:val="en-AU"/>
        </w:rPr>
        <w:t>xxx</w:t>
      </w:r>
      <w:proofErr w:type="spellEnd"/>
      <w:r w:rsidR="001707B2" w:rsidRPr="00BD02A9">
        <w:rPr>
          <w:rFonts w:ascii="Arial" w:hAnsi="Arial" w:cs="Arial"/>
          <w:sz w:val="22"/>
          <w:szCs w:val="22"/>
          <w:lang w:val="en-AU"/>
        </w:rPr>
        <w:t xml:space="preserve"> </w:t>
      </w:r>
      <w:r w:rsidRPr="00BD02A9">
        <w:rPr>
          <w:rFonts w:ascii="Arial" w:hAnsi="Arial" w:cs="Arial"/>
          <w:sz w:val="22"/>
          <w:szCs w:val="22"/>
          <w:lang w:val="en-AU"/>
        </w:rPr>
        <w:t xml:space="preserve">resigned unexpectedly, </w:t>
      </w:r>
      <w:r w:rsidR="005E66B7">
        <w:rPr>
          <w:rFonts w:ascii="Arial" w:hAnsi="Arial" w:cs="Arial"/>
          <w:sz w:val="22"/>
          <w:szCs w:val="22"/>
          <w:lang w:val="en-AU"/>
        </w:rPr>
        <w:t xml:space="preserve">Ms XXX </w:t>
      </w:r>
      <w:proofErr w:type="spellStart"/>
      <w:proofErr w:type="gramStart"/>
      <w:r w:rsidR="005E66B7">
        <w:rPr>
          <w:rFonts w:ascii="Arial" w:hAnsi="Arial" w:cs="Arial"/>
          <w:sz w:val="22"/>
          <w:szCs w:val="22"/>
          <w:lang w:val="en-AU"/>
        </w:rPr>
        <w:t>xxx</w:t>
      </w:r>
      <w:proofErr w:type="spellEnd"/>
      <w:r w:rsidR="000404FC" w:rsidRPr="00BD02A9">
        <w:rPr>
          <w:rFonts w:ascii="Arial" w:hAnsi="Arial" w:cs="Arial"/>
          <w:sz w:val="22"/>
          <w:szCs w:val="22"/>
          <w:lang w:val="en-AU"/>
        </w:rPr>
        <w:t xml:space="preserve">  as</w:t>
      </w:r>
      <w:proofErr w:type="gramEnd"/>
      <w:r w:rsidR="000404FC" w:rsidRPr="00BD02A9">
        <w:rPr>
          <w:rFonts w:ascii="Arial" w:hAnsi="Arial" w:cs="Arial"/>
          <w:sz w:val="22"/>
          <w:szCs w:val="22"/>
          <w:lang w:val="en-AU"/>
        </w:rPr>
        <w:t xml:space="preserve"> sole Director also </w:t>
      </w:r>
      <w:r w:rsidRPr="00BD02A9">
        <w:rPr>
          <w:rFonts w:ascii="Arial" w:hAnsi="Arial" w:cs="Arial"/>
          <w:sz w:val="22"/>
          <w:szCs w:val="22"/>
          <w:lang w:val="en-AU"/>
        </w:rPr>
        <w:t>assumed the role of CFO</w:t>
      </w:r>
      <w:r w:rsidR="000404FC" w:rsidRPr="00BD02A9">
        <w:rPr>
          <w:rFonts w:ascii="Arial" w:hAnsi="Arial" w:cs="Arial"/>
          <w:sz w:val="22"/>
          <w:szCs w:val="22"/>
          <w:lang w:val="en-AU"/>
        </w:rPr>
        <w:t xml:space="preserve"> and in order to reduce costs. </w:t>
      </w:r>
    </w:p>
    <w:p w14:paraId="2E4C3F82" w14:textId="77777777" w:rsidR="00A14E8E" w:rsidRPr="00BD02A9" w:rsidRDefault="00A14E8E" w:rsidP="00A14E8E">
      <w:pPr>
        <w:rPr>
          <w:rFonts w:ascii="Arial" w:hAnsi="Arial" w:cs="Arial"/>
          <w:sz w:val="22"/>
          <w:szCs w:val="22"/>
          <w:lang w:val="en-AU"/>
        </w:rPr>
      </w:pPr>
    </w:p>
    <w:p w14:paraId="13FF0C72" w14:textId="634D76BF" w:rsidR="00C30C1F" w:rsidRPr="00BD02A9" w:rsidRDefault="00427A9D" w:rsidP="00C30C1F">
      <w:pPr>
        <w:rPr>
          <w:rFonts w:ascii="Arial" w:hAnsi="Arial" w:cs="Arial"/>
          <w:sz w:val="22"/>
          <w:szCs w:val="22"/>
        </w:rPr>
      </w:pPr>
      <w:r w:rsidRPr="00BD02A9">
        <w:rPr>
          <w:rFonts w:ascii="Arial" w:hAnsi="Arial" w:cs="Arial"/>
          <w:sz w:val="22"/>
          <w:szCs w:val="22"/>
        </w:rPr>
        <w:t xml:space="preserve">Soon after </w:t>
      </w:r>
      <w:proofErr w:type="spellStart"/>
      <w:r w:rsidRPr="00BD02A9">
        <w:rPr>
          <w:rFonts w:ascii="Arial" w:hAnsi="Arial" w:cs="Arial"/>
          <w:sz w:val="22"/>
          <w:szCs w:val="22"/>
        </w:rPr>
        <w:t>Mr</w:t>
      </w:r>
      <w:proofErr w:type="spellEnd"/>
      <w:r w:rsidRPr="00BD02A9">
        <w:rPr>
          <w:rFonts w:ascii="Arial" w:hAnsi="Arial" w:cs="Arial"/>
          <w:sz w:val="22"/>
          <w:szCs w:val="22"/>
        </w:rPr>
        <w:t xml:space="preserve"> </w:t>
      </w:r>
      <w:r w:rsidR="00B93D31">
        <w:rPr>
          <w:rFonts w:ascii="Arial" w:hAnsi="Arial" w:cs="Arial"/>
          <w:sz w:val="22"/>
          <w:szCs w:val="22"/>
        </w:rPr>
        <w:t>X’s</w:t>
      </w:r>
      <w:r w:rsidRPr="00BD02A9">
        <w:rPr>
          <w:rFonts w:ascii="Arial" w:hAnsi="Arial" w:cs="Arial"/>
          <w:sz w:val="22"/>
          <w:szCs w:val="22"/>
        </w:rPr>
        <w:t xml:space="preserve"> departure our client </w:t>
      </w:r>
      <w:r w:rsidR="00C30C1F" w:rsidRPr="00BD02A9">
        <w:rPr>
          <w:rFonts w:ascii="Arial" w:hAnsi="Arial" w:cs="Arial"/>
          <w:sz w:val="22"/>
          <w:szCs w:val="22"/>
        </w:rPr>
        <w:t xml:space="preserve">immediately engaged an external bookkeeper to assist with the account’s reconciliation. Given the complexity of the system and data issues left dating back two years by the prior finance </w:t>
      </w:r>
      <w:proofErr w:type="gramStart"/>
      <w:r w:rsidR="00C30C1F" w:rsidRPr="00BD02A9">
        <w:rPr>
          <w:rFonts w:ascii="Arial" w:hAnsi="Arial" w:cs="Arial"/>
          <w:sz w:val="22"/>
          <w:szCs w:val="22"/>
        </w:rPr>
        <w:t>manager</w:t>
      </w:r>
      <w:proofErr w:type="gramEnd"/>
      <w:r w:rsidR="00C30C1F" w:rsidRPr="00BD02A9">
        <w:rPr>
          <w:rFonts w:ascii="Arial" w:hAnsi="Arial" w:cs="Arial"/>
          <w:sz w:val="22"/>
          <w:szCs w:val="22"/>
        </w:rPr>
        <w:t xml:space="preserve"> the efforts of the bookkeeper unfortunately compounded the problem. </w:t>
      </w:r>
    </w:p>
    <w:p w14:paraId="56F4CC29" w14:textId="77777777" w:rsidR="00C30C1F" w:rsidRPr="00BD02A9" w:rsidRDefault="00C30C1F" w:rsidP="00C30C1F">
      <w:pPr>
        <w:rPr>
          <w:rFonts w:ascii="Arial" w:hAnsi="Arial" w:cs="Arial"/>
          <w:sz w:val="22"/>
          <w:szCs w:val="22"/>
        </w:rPr>
      </w:pPr>
    </w:p>
    <w:p w14:paraId="4EC4F0DF" w14:textId="2C726299" w:rsidR="00C30C1F" w:rsidRPr="00BD02A9" w:rsidRDefault="00C30C1F" w:rsidP="00C30C1F">
      <w:pPr>
        <w:rPr>
          <w:rFonts w:ascii="Arial" w:eastAsiaTheme="minorHAnsi" w:hAnsi="Arial" w:cs="Arial"/>
          <w:sz w:val="22"/>
          <w:szCs w:val="22"/>
          <w:lang w:val="en-AU"/>
        </w:rPr>
      </w:pPr>
      <w:r w:rsidRPr="00BD02A9">
        <w:rPr>
          <w:rFonts w:ascii="Arial" w:hAnsi="Arial" w:cs="Arial"/>
          <w:sz w:val="22"/>
          <w:szCs w:val="22"/>
        </w:rPr>
        <w:t>(</w:t>
      </w:r>
      <w:r w:rsidR="00B93D31">
        <w:rPr>
          <w:rFonts w:ascii="Arial" w:hAnsi="Arial" w:cs="Arial"/>
          <w:sz w:val="22"/>
          <w:szCs w:val="22"/>
        </w:rPr>
        <w:t>X</w:t>
      </w:r>
      <w:r w:rsidRPr="00BD02A9">
        <w:rPr>
          <w:rFonts w:ascii="Arial" w:hAnsi="Arial" w:cs="Arial"/>
          <w:sz w:val="22"/>
          <w:szCs w:val="22"/>
        </w:rPr>
        <w:t xml:space="preserve"> Partners) discovered the bookkeeper recorded several journal entries that we later found to be inaccurate, and this process took a huge amount of time to unravel and fix</w:t>
      </w:r>
      <w:r w:rsidR="008C1895" w:rsidRPr="00BD02A9">
        <w:rPr>
          <w:rFonts w:ascii="Arial" w:hAnsi="Arial" w:cs="Arial"/>
          <w:sz w:val="22"/>
          <w:szCs w:val="22"/>
        </w:rPr>
        <w:t>.</w:t>
      </w:r>
    </w:p>
    <w:p w14:paraId="790F9FDD" w14:textId="797DCBF8" w:rsidR="00C30C1F" w:rsidRPr="00BD02A9" w:rsidRDefault="00C30C1F" w:rsidP="00C30C1F">
      <w:pPr>
        <w:spacing w:line="276" w:lineRule="auto"/>
        <w:rPr>
          <w:rFonts w:ascii="Arial" w:hAnsi="Arial" w:cs="Arial"/>
          <w:sz w:val="22"/>
          <w:szCs w:val="22"/>
          <w:lang w:val="en-AU"/>
        </w:rPr>
      </w:pPr>
    </w:p>
    <w:p w14:paraId="5BA85D13" w14:textId="2A52D669" w:rsidR="00427A9D" w:rsidRPr="00BD02A9" w:rsidRDefault="00427A9D" w:rsidP="00427A9D">
      <w:pPr>
        <w:rPr>
          <w:rFonts w:ascii="Arial" w:eastAsiaTheme="minorHAnsi" w:hAnsi="Arial" w:cs="Arial"/>
          <w:sz w:val="22"/>
          <w:szCs w:val="22"/>
          <w:lang w:val="en-AU"/>
        </w:rPr>
      </w:pPr>
      <w:r w:rsidRPr="00BD02A9">
        <w:rPr>
          <w:rFonts w:ascii="Arial" w:hAnsi="Arial" w:cs="Arial"/>
          <w:sz w:val="22"/>
          <w:szCs w:val="22"/>
        </w:rPr>
        <w:t xml:space="preserve">It was </w:t>
      </w:r>
      <w:r w:rsidR="007136AF" w:rsidRPr="00BD02A9">
        <w:rPr>
          <w:rFonts w:ascii="Arial" w:hAnsi="Arial" w:cs="Arial"/>
          <w:sz w:val="22"/>
          <w:szCs w:val="22"/>
        </w:rPr>
        <w:t>then</w:t>
      </w:r>
      <w:r w:rsidRPr="00BD02A9">
        <w:rPr>
          <w:rFonts w:ascii="Arial" w:hAnsi="Arial" w:cs="Arial"/>
          <w:sz w:val="22"/>
          <w:szCs w:val="22"/>
        </w:rPr>
        <w:t xml:space="preserve"> </w:t>
      </w:r>
      <w:r w:rsidR="007136AF">
        <w:rPr>
          <w:rFonts w:ascii="Arial" w:hAnsi="Arial" w:cs="Arial"/>
          <w:sz w:val="22"/>
          <w:szCs w:val="22"/>
        </w:rPr>
        <w:t xml:space="preserve">in </w:t>
      </w:r>
      <w:r w:rsidRPr="00BD02A9">
        <w:rPr>
          <w:rFonts w:ascii="Arial" w:hAnsi="Arial" w:cs="Arial"/>
          <w:sz w:val="22"/>
          <w:szCs w:val="22"/>
        </w:rPr>
        <w:t xml:space="preserve">September 2023 </w:t>
      </w:r>
      <w:r w:rsidR="00E17A8E" w:rsidRPr="00BD02A9">
        <w:rPr>
          <w:rFonts w:ascii="Arial" w:hAnsi="Arial" w:cs="Arial"/>
          <w:sz w:val="22"/>
          <w:szCs w:val="22"/>
        </w:rPr>
        <w:t>that we (</w:t>
      </w:r>
      <w:r w:rsidR="00B93D31">
        <w:rPr>
          <w:rFonts w:ascii="Arial" w:hAnsi="Arial" w:cs="Arial"/>
          <w:sz w:val="22"/>
          <w:szCs w:val="22"/>
        </w:rPr>
        <w:t>X</w:t>
      </w:r>
      <w:r w:rsidR="00E17A8E" w:rsidRPr="00BD02A9">
        <w:rPr>
          <w:rFonts w:ascii="Arial" w:hAnsi="Arial" w:cs="Arial"/>
          <w:sz w:val="22"/>
          <w:szCs w:val="22"/>
        </w:rPr>
        <w:t xml:space="preserve"> Partners) were</w:t>
      </w:r>
      <w:r w:rsidRPr="00BD02A9">
        <w:rPr>
          <w:rFonts w:ascii="Arial" w:hAnsi="Arial" w:cs="Arial"/>
          <w:sz w:val="22"/>
          <w:szCs w:val="22"/>
        </w:rPr>
        <w:t xml:space="preserve"> </w:t>
      </w:r>
      <w:r w:rsidR="00697309" w:rsidRPr="00BD02A9">
        <w:rPr>
          <w:rFonts w:ascii="Arial" w:hAnsi="Arial" w:cs="Arial"/>
          <w:sz w:val="22"/>
          <w:szCs w:val="22"/>
        </w:rPr>
        <w:t xml:space="preserve">engaged </w:t>
      </w:r>
      <w:r w:rsidRPr="00BD02A9">
        <w:rPr>
          <w:rFonts w:ascii="Arial" w:hAnsi="Arial" w:cs="Arial"/>
          <w:sz w:val="22"/>
          <w:szCs w:val="22"/>
        </w:rPr>
        <w:t xml:space="preserve">to assist with the bookkeeping and reconciliation. It was very clear from the time we took over the bookkeeping function the accounts were left in a “mess” by the bookkeeper and the previous finance manager. </w:t>
      </w:r>
      <w:proofErr w:type="gramStart"/>
      <w:r w:rsidRPr="00BD02A9">
        <w:rPr>
          <w:rFonts w:ascii="Arial" w:hAnsi="Arial" w:cs="Arial"/>
          <w:sz w:val="22"/>
          <w:szCs w:val="22"/>
        </w:rPr>
        <w:t>Attending to</w:t>
      </w:r>
      <w:proofErr w:type="gramEnd"/>
      <w:r w:rsidRPr="00BD02A9">
        <w:rPr>
          <w:rFonts w:ascii="Arial" w:hAnsi="Arial" w:cs="Arial"/>
          <w:sz w:val="22"/>
          <w:szCs w:val="22"/>
        </w:rPr>
        <w:t xml:space="preserve"> the problems caused by the bookkeeper and previous finance management became an expensive exercise for our client. </w:t>
      </w:r>
    </w:p>
    <w:p w14:paraId="56C67920" w14:textId="77777777" w:rsidR="006B0B93" w:rsidRPr="00BD02A9" w:rsidRDefault="006B0B93" w:rsidP="00427A9D">
      <w:pPr>
        <w:rPr>
          <w:rFonts w:ascii="Arial" w:hAnsi="Arial" w:cs="Arial"/>
          <w:sz w:val="22"/>
          <w:szCs w:val="22"/>
        </w:rPr>
      </w:pPr>
    </w:p>
    <w:p w14:paraId="6507791E" w14:textId="2610EDE3" w:rsidR="00427A9D" w:rsidRPr="00BD02A9" w:rsidRDefault="00427A9D" w:rsidP="00427A9D">
      <w:pPr>
        <w:rPr>
          <w:rFonts w:ascii="Arial" w:hAnsi="Arial" w:cs="Arial"/>
          <w:sz w:val="22"/>
          <w:szCs w:val="22"/>
        </w:rPr>
      </w:pPr>
      <w:r w:rsidRPr="00BD02A9">
        <w:rPr>
          <w:rFonts w:ascii="Arial" w:hAnsi="Arial" w:cs="Arial"/>
          <w:sz w:val="22"/>
          <w:szCs w:val="22"/>
        </w:rPr>
        <w:t xml:space="preserve">We also had to rely on the CEO to assist in resolving multiple gaps we identified whilst attending to the reconciliation. The CEO and </w:t>
      </w:r>
      <w:r w:rsidR="00A12024">
        <w:rPr>
          <w:rFonts w:ascii="Arial" w:hAnsi="Arial" w:cs="Arial"/>
          <w:sz w:val="22"/>
          <w:szCs w:val="22"/>
        </w:rPr>
        <w:t>X</w:t>
      </w:r>
      <w:r w:rsidRPr="00BD02A9">
        <w:rPr>
          <w:rFonts w:ascii="Arial" w:hAnsi="Arial" w:cs="Arial"/>
          <w:sz w:val="22"/>
          <w:szCs w:val="22"/>
        </w:rPr>
        <w:t xml:space="preserve"> Partners had to liaise with multiple non-finance staff to assist us in resolving the issues we had identified with the accounts. The issues included:</w:t>
      </w:r>
    </w:p>
    <w:p w14:paraId="6ABE5E38" w14:textId="0AF73E0B" w:rsidR="00427A9D" w:rsidRPr="00BD02A9" w:rsidRDefault="00427A9D" w:rsidP="00427A9D">
      <w:pPr>
        <w:pStyle w:val="ListParagraph"/>
        <w:numPr>
          <w:ilvl w:val="0"/>
          <w:numId w:val="7"/>
        </w:numPr>
        <w:spacing w:after="160" w:line="276" w:lineRule="auto"/>
        <w:rPr>
          <w:rFonts w:ascii="Arial" w:hAnsi="Arial" w:cs="Arial"/>
          <w:sz w:val="22"/>
          <w:szCs w:val="22"/>
        </w:rPr>
      </w:pPr>
      <w:r w:rsidRPr="00BD02A9">
        <w:rPr>
          <w:rFonts w:ascii="Arial" w:hAnsi="Arial" w:cs="Arial"/>
          <w:sz w:val="22"/>
          <w:szCs w:val="22"/>
        </w:rPr>
        <w:t xml:space="preserve">revisiting </w:t>
      </w:r>
      <w:r w:rsidR="004C2149" w:rsidRPr="00BD02A9">
        <w:rPr>
          <w:rFonts w:ascii="Arial" w:hAnsi="Arial" w:cs="Arial"/>
          <w:sz w:val="22"/>
          <w:szCs w:val="22"/>
        </w:rPr>
        <w:t xml:space="preserve">a significant number of </w:t>
      </w:r>
      <w:r w:rsidRPr="00BD02A9">
        <w:rPr>
          <w:rFonts w:ascii="Arial" w:hAnsi="Arial" w:cs="Arial"/>
          <w:sz w:val="22"/>
          <w:szCs w:val="22"/>
        </w:rPr>
        <w:t xml:space="preserve">incorrect journal entries recorded by the Bookkeeper and the previous finance manager. </w:t>
      </w:r>
    </w:p>
    <w:p w14:paraId="7EDBF7E3" w14:textId="713224C5" w:rsidR="00015D2D" w:rsidRPr="00BD02A9" w:rsidRDefault="00F77807" w:rsidP="00427A9D">
      <w:pPr>
        <w:pStyle w:val="ListParagraph"/>
        <w:numPr>
          <w:ilvl w:val="0"/>
          <w:numId w:val="7"/>
        </w:numPr>
        <w:spacing w:after="160" w:line="276" w:lineRule="auto"/>
        <w:rPr>
          <w:rFonts w:ascii="Arial" w:hAnsi="Arial" w:cs="Arial"/>
          <w:sz w:val="22"/>
          <w:szCs w:val="22"/>
        </w:rPr>
      </w:pPr>
      <w:r>
        <w:rPr>
          <w:rFonts w:ascii="Arial" w:hAnsi="Arial" w:cs="Arial"/>
          <w:sz w:val="22"/>
          <w:szCs w:val="22"/>
        </w:rPr>
        <w:t>r</w:t>
      </w:r>
      <w:r w:rsidR="00015D2D" w:rsidRPr="00BD02A9">
        <w:rPr>
          <w:rFonts w:ascii="Arial" w:hAnsi="Arial" w:cs="Arial"/>
          <w:sz w:val="22"/>
          <w:szCs w:val="22"/>
        </w:rPr>
        <w:t xml:space="preserve">econciliations not performed </w:t>
      </w:r>
      <w:r w:rsidR="003034EC" w:rsidRPr="00BD02A9">
        <w:rPr>
          <w:rFonts w:ascii="Arial" w:hAnsi="Arial" w:cs="Arial"/>
          <w:sz w:val="22"/>
          <w:szCs w:val="22"/>
        </w:rPr>
        <w:t>dating back multiple financial periods in the system (manual records differing from system records)</w:t>
      </w:r>
    </w:p>
    <w:p w14:paraId="243180E2" w14:textId="6082A01C" w:rsidR="00427A9D" w:rsidRPr="00BD02A9" w:rsidRDefault="00427A9D" w:rsidP="00427A9D">
      <w:pPr>
        <w:pStyle w:val="ListParagraph"/>
        <w:numPr>
          <w:ilvl w:val="0"/>
          <w:numId w:val="7"/>
        </w:numPr>
        <w:spacing w:after="160" w:line="276" w:lineRule="auto"/>
        <w:rPr>
          <w:rFonts w:ascii="Arial" w:hAnsi="Arial" w:cs="Arial"/>
          <w:sz w:val="22"/>
          <w:szCs w:val="22"/>
        </w:rPr>
      </w:pPr>
      <w:r w:rsidRPr="00BD02A9">
        <w:rPr>
          <w:rFonts w:ascii="Arial" w:hAnsi="Arial" w:cs="Arial"/>
          <w:sz w:val="22"/>
          <w:szCs w:val="22"/>
        </w:rPr>
        <w:t>supplier payments not offset / record</w:t>
      </w:r>
      <w:r w:rsidR="004C2149" w:rsidRPr="00BD02A9">
        <w:rPr>
          <w:rFonts w:ascii="Arial" w:hAnsi="Arial" w:cs="Arial"/>
          <w:sz w:val="22"/>
          <w:szCs w:val="22"/>
        </w:rPr>
        <w:t>ed</w:t>
      </w:r>
      <w:r w:rsidRPr="00BD02A9">
        <w:rPr>
          <w:rFonts w:ascii="Arial" w:hAnsi="Arial" w:cs="Arial"/>
          <w:sz w:val="22"/>
          <w:szCs w:val="22"/>
        </w:rPr>
        <w:t xml:space="preserve"> against the supplier invoices</w:t>
      </w:r>
      <w:r w:rsidR="00015D2D" w:rsidRPr="00BD02A9">
        <w:rPr>
          <w:rFonts w:ascii="Arial" w:hAnsi="Arial" w:cs="Arial"/>
          <w:sz w:val="22"/>
          <w:szCs w:val="22"/>
        </w:rPr>
        <w:t xml:space="preserve"> leading to a complete mismatch of supplier statement of accounts and our </w:t>
      </w:r>
      <w:r w:rsidR="003034EC" w:rsidRPr="00BD02A9">
        <w:rPr>
          <w:rFonts w:ascii="Arial" w:hAnsi="Arial" w:cs="Arial"/>
          <w:sz w:val="22"/>
          <w:szCs w:val="22"/>
        </w:rPr>
        <w:t>NetSuite</w:t>
      </w:r>
      <w:r w:rsidR="00015D2D" w:rsidRPr="00BD02A9">
        <w:rPr>
          <w:rFonts w:ascii="Arial" w:hAnsi="Arial" w:cs="Arial"/>
          <w:sz w:val="22"/>
          <w:szCs w:val="22"/>
        </w:rPr>
        <w:t xml:space="preserve"> records that was complex and time-consuming to resolve</w:t>
      </w:r>
      <w:r w:rsidRPr="00BD02A9">
        <w:rPr>
          <w:rFonts w:ascii="Arial" w:hAnsi="Arial" w:cs="Arial"/>
          <w:sz w:val="22"/>
          <w:szCs w:val="22"/>
        </w:rPr>
        <w:t xml:space="preserve">. </w:t>
      </w:r>
      <w:proofErr w:type="gramStart"/>
      <w:r w:rsidRPr="00BD02A9">
        <w:rPr>
          <w:rFonts w:ascii="Arial" w:hAnsi="Arial" w:cs="Arial"/>
          <w:sz w:val="22"/>
          <w:szCs w:val="22"/>
        </w:rPr>
        <w:t>In order to</w:t>
      </w:r>
      <w:proofErr w:type="gramEnd"/>
      <w:r w:rsidRPr="00BD02A9">
        <w:rPr>
          <w:rFonts w:ascii="Arial" w:hAnsi="Arial" w:cs="Arial"/>
          <w:sz w:val="22"/>
          <w:szCs w:val="22"/>
        </w:rPr>
        <w:t xml:space="preserve"> rectify this, our client had to request supplier statements from its various suppliers and then </w:t>
      </w:r>
      <w:proofErr w:type="gramStart"/>
      <w:r w:rsidRPr="00BD02A9">
        <w:rPr>
          <w:rFonts w:ascii="Arial" w:hAnsi="Arial" w:cs="Arial"/>
          <w:sz w:val="22"/>
          <w:szCs w:val="22"/>
        </w:rPr>
        <w:t>reviewing</w:t>
      </w:r>
      <w:proofErr w:type="gramEnd"/>
      <w:r w:rsidRPr="00BD02A9">
        <w:rPr>
          <w:rFonts w:ascii="Arial" w:hAnsi="Arial" w:cs="Arial"/>
          <w:sz w:val="22"/>
          <w:szCs w:val="22"/>
        </w:rPr>
        <w:t xml:space="preserve"> the payments in NetSuite and re-allocating these correctly against the supplier invoices.</w:t>
      </w:r>
    </w:p>
    <w:p w14:paraId="1A2A1F38" w14:textId="61ABA98D" w:rsidR="00427A9D" w:rsidRPr="00BD02A9" w:rsidRDefault="00F77807" w:rsidP="00427A9D">
      <w:pPr>
        <w:pStyle w:val="ListParagraph"/>
        <w:numPr>
          <w:ilvl w:val="0"/>
          <w:numId w:val="7"/>
        </w:numPr>
        <w:spacing w:after="160" w:line="276" w:lineRule="auto"/>
        <w:rPr>
          <w:rFonts w:ascii="Arial" w:hAnsi="Arial" w:cs="Arial"/>
          <w:sz w:val="22"/>
          <w:szCs w:val="22"/>
        </w:rPr>
      </w:pPr>
      <w:r>
        <w:rPr>
          <w:rFonts w:ascii="Arial" w:hAnsi="Arial" w:cs="Arial"/>
          <w:sz w:val="22"/>
          <w:szCs w:val="22"/>
        </w:rPr>
        <w:t>i</w:t>
      </w:r>
      <w:r w:rsidR="00427A9D" w:rsidRPr="00BD02A9">
        <w:rPr>
          <w:rFonts w:ascii="Arial" w:hAnsi="Arial" w:cs="Arial"/>
          <w:sz w:val="22"/>
          <w:szCs w:val="22"/>
        </w:rPr>
        <w:t>ntercompany transactions not correctly recorded</w:t>
      </w:r>
    </w:p>
    <w:p w14:paraId="5CFC54E6" w14:textId="69C04BDD" w:rsidR="00427A9D" w:rsidRPr="00BD02A9" w:rsidRDefault="00F77807" w:rsidP="00427A9D">
      <w:pPr>
        <w:pStyle w:val="ListParagraph"/>
        <w:numPr>
          <w:ilvl w:val="0"/>
          <w:numId w:val="7"/>
        </w:numPr>
        <w:rPr>
          <w:rFonts w:ascii="Arial" w:hAnsi="Arial" w:cs="Arial"/>
          <w:sz w:val="22"/>
          <w:szCs w:val="22"/>
          <w:lang w:eastAsia="en-AU"/>
        </w:rPr>
      </w:pPr>
      <w:r>
        <w:rPr>
          <w:rFonts w:ascii="Arial" w:hAnsi="Arial" w:cs="Arial"/>
          <w:sz w:val="22"/>
          <w:szCs w:val="22"/>
        </w:rPr>
        <w:t>t</w:t>
      </w:r>
      <w:r w:rsidR="00427A9D" w:rsidRPr="00BD02A9">
        <w:rPr>
          <w:rFonts w:ascii="Arial" w:hAnsi="Arial" w:cs="Arial"/>
          <w:sz w:val="22"/>
          <w:szCs w:val="22"/>
        </w:rPr>
        <w:t xml:space="preserve">he wages and superannuation payments </w:t>
      </w:r>
      <w:proofErr w:type="gramStart"/>
      <w:r w:rsidR="00427A9D" w:rsidRPr="00BD02A9">
        <w:rPr>
          <w:rFonts w:ascii="Arial" w:hAnsi="Arial" w:cs="Arial"/>
          <w:sz w:val="22"/>
          <w:szCs w:val="22"/>
        </w:rPr>
        <w:t>not</w:t>
      </w:r>
      <w:proofErr w:type="gramEnd"/>
      <w:r w:rsidR="00427A9D" w:rsidRPr="00BD02A9">
        <w:rPr>
          <w:rFonts w:ascii="Arial" w:hAnsi="Arial" w:cs="Arial"/>
          <w:sz w:val="22"/>
          <w:szCs w:val="22"/>
        </w:rPr>
        <w:t xml:space="preserve"> correctly recorded. This required </w:t>
      </w:r>
      <w:proofErr w:type="spellStart"/>
      <w:r w:rsidR="00427A9D" w:rsidRPr="00BD02A9">
        <w:rPr>
          <w:rFonts w:ascii="Arial" w:hAnsi="Arial" w:cs="Arial"/>
          <w:sz w:val="22"/>
          <w:szCs w:val="22"/>
        </w:rPr>
        <w:t>Kidmans</w:t>
      </w:r>
      <w:proofErr w:type="spellEnd"/>
      <w:r w:rsidR="00427A9D" w:rsidRPr="00BD02A9">
        <w:rPr>
          <w:rFonts w:ascii="Arial" w:hAnsi="Arial" w:cs="Arial"/>
          <w:sz w:val="22"/>
          <w:szCs w:val="22"/>
        </w:rPr>
        <w:t xml:space="preserve"> to revisit each fortnightly pay run journals and </w:t>
      </w:r>
      <w:proofErr w:type="gramStart"/>
      <w:r w:rsidR="00427A9D" w:rsidRPr="00BD02A9">
        <w:rPr>
          <w:rFonts w:ascii="Arial" w:hAnsi="Arial" w:cs="Arial"/>
          <w:sz w:val="22"/>
          <w:szCs w:val="22"/>
        </w:rPr>
        <w:t>updating</w:t>
      </w:r>
      <w:proofErr w:type="gramEnd"/>
      <w:r w:rsidR="00427A9D" w:rsidRPr="00BD02A9">
        <w:rPr>
          <w:rFonts w:ascii="Arial" w:hAnsi="Arial" w:cs="Arial"/>
          <w:sz w:val="22"/>
          <w:szCs w:val="22"/>
        </w:rPr>
        <w:t xml:space="preserve"> the journals to correctly reflect the pay run transactions</w:t>
      </w:r>
      <w:r w:rsidR="00427A9D" w:rsidRPr="00BD02A9">
        <w:rPr>
          <w:rFonts w:ascii="Arial" w:hAnsi="Arial" w:cs="Arial"/>
          <w:sz w:val="22"/>
          <w:szCs w:val="22"/>
          <w:lang w:eastAsia="en-AU"/>
        </w:rPr>
        <w:t xml:space="preserve"> </w:t>
      </w:r>
    </w:p>
    <w:p w14:paraId="167EEFCB" w14:textId="77777777" w:rsidR="00427A9D" w:rsidRPr="00BD02A9" w:rsidRDefault="00427A9D" w:rsidP="00C30C1F">
      <w:pPr>
        <w:spacing w:line="276" w:lineRule="auto"/>
        <w:rPr>
          <w:rFonts w:ascii="Arial" w:hAnsi="Arial" w:cs="Arial"/>
          <w:sz w:val="22"/>
          <w:szCs w:val="22"/>
          <w:lang w:val="en-AU"/>
        </w:rPr>
      </w:pPr>
    </w:p>
    <w:p w14:paraId="24E00682" w14:textId="77777777" w:rsidR="00A14E8E" w:rsidRPr="00BD02A9" w:rsidRDefault="00A14E8E" w:rsidP="00A14E8E">
      <w:pPr>
        <w:rPr>
          <w:rFonts w:ascii="Arial" w:hAnsi="Arial" w:cs="Arial"/>
          <w:sz w:val="22"/>
          <w:szCs w:val="22"/>
          <w:lang w:val="en-AU"/>
        </w:rPr>
      </w:pPr>
    </w:p>
    <w:p w14:paraId="416676B4" w14:textId="6534998F" w:rsidR="00A14E8E" w:rsidRPr="00BD02A9" w:rsidRDefault="00A14E8E" w:rsidP="00A14E8E">
      <w:pPr>
        <w:rPr>
          <w:rFonts w:ascii="Arial" w:hAnsi="Arial" w:cs="Arial"/>
          <w:b/>
          <w:bCs/>
          <w:sz w:val="22"/>
          <w:szCs w:val="22"/>
          <w:lang w:val="en-AU"/>
        </w:rPr>
      </w:pPr>
      <w:r w:rsidRPr="00BD02A9">
        <w:rPr>
          <w:rFonts w:ascii="Arial" w:hAnsi="Arial" w:cs="Arial"/>
          <w:b/>
          <w:bCs/>
          <w:sz w:val="22"/>
          <w:szCs w:val="22"/>
          <w:lang w:val="en-AU"/>
        </w:rPr>
        <w:t>3.</w:t>
      </w:r>
      <w:r w:rsidR="009A1743" w:rsidRPr="00BD02A9">
        <w:rPr>
          <w:rFonts w:ascii="Arial" w:hAnsi="Arial" w:cs="Arial"/>
          <w:b/>
          <w:bCs/>
          <w:sz w:val="22"/>
          <w:szCs w:val="22"/>
          <w:lang w:val="en-AU"/>
        </w:rPr>
        <w:t xml:space="preserve"> INCREASED CARE GIVER RESPONSIBILITIES AND OWN MENTAL HEALTH ISSUES</w:t>
      </w:r>
    </w:p>
    <w:p w14:paraId="12E4AA31" w14:textId="77777777" w:rsidR="00A14E8E" w:rsidRPr="00BD02A9" w:rsidRDefault="00A14E8E" w:rsidP="00A14E8E">
      <w:pPr>
        <w:rPr>
          <w:rFonts w:ascii="Arial" w:hAnsi="Arial" w:cs="Arial"/>
          <w:sz w:val="22"/>
          <w:szCs w:val="22"/>
          <w:lang w:val="en-AU"/>
        </w:rPr>
      </w:pPr>
    </w:p>
    <w:p w14:paraId="6961C243" w14:textId="01A709E3" w:rsidR="00A14E8E" w:rsidRPr="00BD02A9" w:rsidRDefault="00A14E8E" w:rsidP="00A14E8E">
      <w:pPr>
        <w:rPr>
          <w:rFonts w:ascii="Arial" w:hAnsi="Arial" w:cs="Arial"/>
          <w:sz w:val="22"/>
          <w:szCs w:val="22"/>
          <w:lang w:val="en-AU"/>
        </w:rPr>
      </w:pPr>
      <w:r w:rsidRPr="00BD02A9">
        <w:rPr>
          <w:rFonts w:ascii="Arial" w:hAnsi="Arial" w:cs="Arial"/>
          <w:sz w:val="22"/>
          <w:szCs w:val="22"/>
          <w:lang w:val="en-AU"/>
        </w:rPr>
        <w:t xml:space="preserve">Since 2021, </w:t>
      </w:r>
      <w:r w:rsidR="009A1743" w:rsidRPr="00BD02A9">
        <w:rPr>
          <w:rFonts w:ascii="Arial" w:hAnsi="Arial" w:cs="Arial"/>
          <w:sz w:val="22"/>
          <w:szCs w:val="22"/>
          <w:lang w:val="en-AU"/>
        </w:rPr>
        <w:t xml:space="preserve">Ms </w:t>
      </w:r>
      <w:r w:rsidR="00A12024">
        <w:rPr>
          <w:rFonts w:ascii="Arial" w:hAnsi="Arial" w:cs="Arial"/>
          <w:sz w:val="22"/>
          <w:szCs w:val="22"/>
          <w:lang w:val="en-AU"/>
        </w:rPr>
        <w:t>XXX</w:t>
      </w:r>
      <w:r w:rsidR="009A1743" w:rsidRPr="00BD02A9">
        <w:rPr>
          <w:rFonts w:ascii="Arial" w:hAnsi="Arial" w:cs="Arial"/>
          <w:sz w:val="22"/>
          <w:szCs w:val="22"/>
          <w:lang w:val="en-AU"/>
        </w:rPr>
        <w:t xml:space="preserve"> </w:t>
      </w:r>
      <w:proofErr w:type="spellStart"/>
      <w:r w:rsidR="00A12024">
        <w:rPr>
          <w:rFonts w:ascii="Arial" w:hAnsi="Arial" w:cs="Arial"/>
          <w:sz w:val="22"/>
          <w:szCs w:val="22"/>
          <w:lang w:val="en-AU"/>
        </w:rPr>
        <w:t>XXX</w:t>
      </w:r>
      <w:proofErr w:type="spellEnd"/>
      <w:r w:rsidR="009A1743" w:rsidRPr="00BD02A9">
        <w:rPr>
          <w:rFonts w:ascii="Arial" w:hAnsi="Arial" w:cs="Arial"/>
          <w:sz w:val="22"/>
          <w:szCs w:val="22"/>
          <w:lang w:val="en-AU"/>
        </w:rPr>
        <w:t xml:space="preserve"> has been</w:t>
      </w:r>
      <w:r w:rsidRPr="00BD02A9">
        <w:rPr>
          <w:rFonts w:ascii="Arial" w:hAnsi="Arial" w:cs="Arial"/>
          <w:sz w:val="22"/>
          <w:szCs w:val="22"/>
          <w:lang w:val="en-AU"/>
        </w:rPr>
        <w:t xml:space="preserve"> the sole caregiver for </w:t>
      </w:r>
      <w:r w:rsidR="009A1743" w:rsidRPr="00BD02A9">
        <w:rPr>
          <w:rFonts w:ascii="Arial" w:hAnsi="Arial" w:cs="Arial"/>
          <w:sz w:val="22"/>
          <w:szCs w:val="22"/>
          <w:lang w:val="en-AU"/>
        </w:rPr>
        <w:t xml:space="preserve">her </w:t>
      </w:r>
      <w:r w:rsidRPr="00BD02A9">
        <w:rPr>
          <w:rFonts w:ascii="Arial" w:hAnsi="Arial" w:cs="Arial"/>
          <w:sz w:val="22"/>
          <w:szCs w:val="22"/>
          <w:lang w:val="en-AU"/>
        </w:rPr>
        <w:t xml:space="preserve">82-year-old mother, whose health has been in rapid decline. She suffers from advanced osteoporosis, Moreton’s neuroma, lymphedema, and has undergone multiple surgeries, including four hip replacements and a parathyroid operation that caused postoperative delirium. In 2023 alone, </w:t>
      </w:r>
      <w:r w:rsidR="009A1743" w:rsidRPr="00BD02A9">
        <w:rPr>
          <w:rFonts w:ascii="Arial" w:hAnsi="Arial" w:cs="Arial"/>
          <w:sz w:val="22"/>
          <w:szCs w:val="22"/>
          <w:lang w:val="en-AU"/>
        </w:rPr>
        <w:t xml:space="preserve">Ms </w:t>
      </w:r>
      <w:r w:rsidR="00BA54A6">
        <w:rPr>
          <w:rFonts w:ascii="Arial" w:hAnsi="Arial" w:cs="Arial"/>
          <w:sz w:val="22"/>
          <w:szCs w:val="22"/>
          <w:lang w:val="en-AU"/>
        </w:rPr>
        <w:t>X</w:t>
      </w:r>
      <w:r w:rsidRPr="00BD02A9">
        <w:rPr>
          <w:rFonts w:ascii="Arial" w:hAnsi="Arial" w:cs="Arial"/>
          <w:sz w:val="22"/>
          <w:szCs w:val="22"/>
          <w:lang w:val="en-AU"/>
        </w:rPr>
        <w:t xml:space="preserve"> 35 GP appointments in addition to numerous specialist consultations and rehabilitation sessions.</w:t>
      </w:r>
    </w:p>
    <w:p w14:paraId="66666179" w14:textId="77777777" w:rsidR="00A14E8E" w:rsidRPr="00BD02A9" w:rsidRDefault="00A14E8E" w:rsidP="00A14E8E">
      <w:pPr>
        <w:rPr>
          <w:rFonts w:ascii="Arial" w:hAnsi="Arial" w:cs="Arial"/>
          <w:sz w:val="22"/>
          <w:szCs w:val="22"/>
          <w:lang w:val="en-AU"/>
        </w:rPr>
      </w:pPr>
    </w:p>
    <w:p w14:paraId="00B656B2" w14:textId="74F04A57" w:rsidR="00A14E8E" w:rsidRDefault="00A14E8E" w:rsidP="00A14E8E">
      <w:pPr>
        <w:rPr>
          <w:rFonts w:ascii="Arial" w:hAnsi="Arial" w:cs="Arial"/>
          <w:sz w:val="22"/>
          <w:szCs w:val="22"/>
          <w:lang w:val="en-AU"/>
        </w:rPr>
      </w:pPr>
      <w:r w:rsidRPr="00BD02A9">
        <w:rPr>
          <w:rFonts w:ascii="Arial" w:hAnsi="Arial" w:cs="Arial"/>
          <w:sz w:val="22"/>
          <w:szCs w:val="22"/>
          <w:lang w:val="en-AU"/>
        </w:rPr>
        <w:t xml:space="preserve">Balancing </w:t>
      </w:r>
      <w:r w:rsidR="00A65073" w:rsidRPr="00BD02A9">
        <w:rPr>
          <w:rFonts w:ascii="Arial" w:hAnsi="Arial" w:cs="Arial"/>
          <w:sz w:val="22"/>
          <w:szCs w:val="22"/>
          <w:lang w:val="en-AU"/>
        </w:rPr>
        <w:t>her</w:t>
      </w:r>
      <w:r w:rsidRPr="00BD02A9">
        <w:rPr>
          <w:rFonts w:ascii="Arial" w:hAnsi="Arial" w:cs="Arial"/>
          <w:sz w:val="22"/>
          <w:szCs w:val="22"/>
          <w:lang w:val="en-AU"/>
        </w:rPr>
        <w:t xml:space="preserve"> caregiving responsibilities with managing the business placed an enormous strain on </w:t>
      </w:r>
      <w:r w:rsidR="009A1743" w:rsidRPr="00BD02A9">
        <w:rPr>
          <w:rFonts w:ascii="Arial" w:hAnsi="Arial" w:cs="Arial"/>
          <w:sz w:val="22"/>
          <w:szCs w:val="22"/>
          <w:lang w:val="en-AU"/>
        </w:rPr>
        <w:t xml:space="preserve">Ms </w:t>
      </w:r>
      <w:r w:rsidR="00C50C13">
        <w:rPr>
          <w:rFonts w:ascii="Arial" w:hAnsi="Arial" w:cs="Arial"/>
          <w:sz w:val="22"/>
          <w:szCs w:val="22"/>
          <w:lang w:val="en-AU"/>
        </w:rPr>
        <w:t>xxx</w:t>
      </w:r>
      <w:r w:rsidR="009A1743" w:rsidRPr="00BD02A9">
        <w:rPr>
          <w:rFonts w:ascii="Arial" w:hAnsi="Arial" w:cs="Arial"/>
          <w:sz w:val="22"/>
          <w:szCs w:val="22"/>
          <w:lang w:val="en-AU"/>
        </w:rPr>
        <w:t xml:space="preserve"> </w:t>
      </w:r>
      <w:proofErr w:type="spellStart"/>
      <w:r w:rsidR="00C50C13">
        <w:rPr>
          <w:rFonts w:ascii="Arial" w:hAnsi="Arial" w:cs="Arial"/>
          <w:sz w:val="22"/>
          <w:szCs w:val="22"/>
          <w:lang w:val="en-AU"/>
        </w:rPr>
        <w:t>xxx</w:t>
      </w:r>
      <w:proofErr w:type="spellEnd"/>
      <w:r w:rsidR="009A1743" w:rsidRPr="00BD02A9">
        <w:rPr>
          <w:rFonts w:ascii="Arial" w:hAnsi="Arial" w:cs="Arial"/>
          <w:sz w:val="22"/>
          <w:szCs w:val="22"/>
          <w:lang w:val="en-AU"/>
        </w:rPr>
        <w:t xml:space="preserve"> </w:t>
      </w:r>
      <w:r w:rsidRPr="00BD02A9">
        <w:rPr>
          <w:rFonts w:ascii="Arial" w:hAnsi="Arial" w:cs="Arial"/>
          <w:sz w:val="22"/>
          <w:szCs w:val="22"/>
          <w:lang w:val="en-AU"/>
        </w:rPr>
        <w:t xml:space="preserve">mental and physical health. </w:t>
      </w:r>
      <w:r w:rsidR="00B62687" w:rsidRPr="00BD02A9">
        <w:rPr>
          <w:rFonts w:ascii="Arial" w:hAnsi="Arial" w:cs="Arial"/>
          <w:sz w:val="22"/>
          <w:szCs w:val="22"/>
          <w:lang w:val="en-AU"/>
        </w:rPr>
        <w:t xml:space="preserve">Ms </w:t>
      </w:r>
      <w:r w:rsidR="00C50C13">
        <w:rPr>
          <w:rFonts w:ascii="Arial" w:hAnsi="Arial" w:cs="Arial"/>
          <w:sz w:val="22"/>
          <w:szCs w:val="22"/>
          <w:lang w:val="en-AU"/>
        </w:rPr>
        <w:t>xxx</w:t>
      </w:r>
      <w:r w:rsidR="00B62687" w:rsidRPr="00BD02A9">
        <w:rPr>
          <w:rFonts w:ascii="Arial" w:hAnsi="Arial" w:cs="Arial"/>
          <w:sz w:val="22"/>
          <w:szCs w:val="22"/>
          <w:lang w:val="en-AU"/>
        </w:rPr>
        <w:t xml:space="preserve"> </w:t>
      </w:r>
      <w:proofErr w:type="spellStart"/>
      <w:r w:rsidR="00C50C13">
        <w:rPr>
          <w:rFonts w:ascii="Arial" w:hAnsi="Arial" w:cs="Arial"/>
          <w:sz w:val="22"/>
          <w:szCs w:val="22"/>
          <w:lang w:val="en-AU"/>
        </w:rPr>
        <w:t>xxx</w:t>
      </w:r>
      <w:proofErr w:type="spellEnd"/>
      <w:r w:rsidRPr="00BD02A9">
        <w:rPr>
          <w:rFonts w:ascii="Arial" w:hAnsi="Arial" w:cs="Arial"/>
          <w:sz w:val="22"/>
          <w:szCs w:val="22"/>
          <w:lang w:val="en-AU"/>
        </w:rPr>
        <w:t xml:space="preserve"> ha</w:t>
      </w:r>
      <w:r w:rsidR="00B62687" w:rsidRPr="00BD02A9">
        <w:rPr>
          <w:rFonts w:ascii="Arial" w:hAnsi="Arial" w:cs="Arial"/>
          <w:sz w:val="22"/>
          <w:szCs w:val="22"/>
          <w:lang w:val="en-AU"/>
        </w:rPr>
        <w:t>s</w:t>
      </w:r>
      <w:r w:rsidRPr="00BD02A9">
        <w:rPr>
          <w:rFonts w:ascii="Arial" w:hAnsi="Arial" w:cs="Arial"/>
          <w:sz w:val="22"/>
          <w:szCs w:val="22"/>
          <w:lang w:val="en-AU"/>
        </w:rPr>
        <w:t xml:space="preserve"> been diagnosed with severe stress and anxiety and </w:t>
      </w:r>
      <w:r w:rsidR="00B62687" w:rsidRPr="00BD02A9">
        <w:rPr>
          <w:rFonts w:ascii="Arial" w:hAnsi="Arial" w:cs="Arial"/>
          <w:sz w:val="22"/>
          <w:szCs w:val="22"/>
          <w:lang w:val="en-AU"/>
        </w:rPr>
        <w:t>is</w:t>
      </w:r>
      <w:r w:rsidRPr="00BD02A9">
        <w:rPr>
          <w:rFonts w:ascii="Arial" w:hAnsi="Arial" w:cs="Arial"/>
          <w:sz w:val="22"/>
          <w:szCs w:val="22"/>
          <w:lang w:val="en-AU"/>
        </w:rPr>
        <w:t xml:space="preserve"> under a formal healthcare plan to manage these conditions. Despite these personal challenges, </w:t>
      </w:r>
      <w:r w:rsidR="009A1743" w:rsidRPr="00BD02A9">
        <w:rPr>
          <w:rFonts w:ascii="Arial" w:hAnsi="Arial" w:cs="Arial"/>
          <w:sz w:val="22"/>
          <w:szCs w:val="22"/>
          <w:lang w:val="en-AU"/>
        </w:rPr>
        <w:t xml:space="preserve">Ms </w:t>
      </w:r>
      <w:r w:rsidR="00C50C13">
        <w:rPr>
          <w:rFonts w:ascii="Arial" w:hAnsi="Arial" w:cs="Arial"/>
          <w:sz w:val="22"/>
          <w:szCs w:val="22"/>
          <w:lang w:val="en-AU"/>
        </w:rPr>
        <w:t>xxx</w:t>
      </w:r>
      <w:r w:rsidR="009A1743" w:rsidRPr="00BD02A9">
        <w:rPr>
          <w:rFonts w:ascii="Arial" w:hAnsi="Arial" w:cs="Arial"/>
          <w:sz w:val="22"/>
          <w:szCs w:val="22"/>
          <w:lang w:val="en-AU"/>
        </w:rPr>
        <w:t xml:space="preserve"> </w:t>
      </w:r>
      <w:proofErr w:type="spellStart"/>
      <w:r w:rsidR="00C50C13">
        <w:rPr>
          <w:rFonts w:ascii="Arial" w:hAnsi="Arial" w:cs="Arial"/>
          <w:sz w:val="22"/>
          <w:szCs w:val="22"/>
          <w:lang w:val="en-AU"/>
        </w:rPr>
        <w:t>xxx</w:t>
      </w:r>
      <w:proofErr w:type="spellEnd"/>
      <w:r w:rsidR="009A1743" w:rsidRPr="00BD02A9">
        <w:rPr>
          <w:rFonts w:ascii="Arial" w:hAnsi="Arial" w:cs="Arial"/>
          <w:sz w:val="22"/>
          <w:szCs w:val="22"/>
          <w:lang w:val="en-AU"/>
        </w:rPr>
        <w:t xml:space="preserve"> </w:t>
      </w:r>
      <w:r w:rsidRPr="00BD02A9">
        <w:rPr>
          <w:rFonts w:ascii="Arial" w:hAnsi="Arial" w:cs="Arial"/>
          <w:sz w:val="22"/>
          <w:szCs w:val="22"/>
          <w:lang w:val="en-AU"/>
        </w:rPr>
        <w:t>believe</w:t>
      </w:r>
      <w:r w:rsidR="009A1743" w:rsidRPr="00BD02A9">
        <w:rPr>
          <w:rFonts w:ascii="Arial" w:hAnsi="Arial" w:cs="Arial"/>
          <w:sz w:val="22"/>
          <w:szCs w:val="22"/>
          <w:lang w:val="en-AU"/>
        </w:rPr>
        <w:t>s</w:t>
      </w:r>
      <w:r w:rsidRPr="00BD02A9">
        <w:rPr>
          <w:rFonts w:ascii="Arial" w:hAnsi="Arial" w:cs="Arial"/>
          <w:sz w:val="22"/>
          <w:szCs w:val="22"/>
          <w:lang w:val="en-AU"/>
        </w:rPr>
        <w:t xml:space="preserve"> that </w:t>
      </w:r>
      <w:r w:rsidR="009A1743" w:rsidRPr="00BD02A9">
        <w:rPr>
          <w:rFonts w:ascii="Arial" w:hAnsi="Arial" w:cs="Arial"/>
          <w:sz w:val="22"/>
          <w:szCs w:val="22"/>
          <w:lang w:val="en-AU"/>
        </w:rPr>
        <w:t xml:space="preserve">she has </w:t>
      </w:r>
      <w:r w:rsidRPr="00BD02A9">
        <w:rPr>
          <w:rFonts w:ascii="Arial" w:hAnsi="Arial" w:cs="Arial"/>
          <w:sz w:val="22"/>
          <w:szCs w:val="22"/>
          <w:lang w:val="en-AU"/>
        </w:rPr>
        <w:t xml:space="preserve">no choice but to continue to work over 60 hours per week to resolve the financial issues and </w:t>
      </w:r>
      <w:r w:rsidR="009A1743" w:rsidRPr="00BD02A9">
        <w:rPr>
          <w:rFonts w:ascii="Arial" w:hAnsi="Arial" w:cs="Arial"/>
          <w:sz w:val="22"/>
          <w:szCs w:val="22"/>
          <w:lang w:val="en-AU"/>
        </w:rPr>
        <w:t xml:space="preserve">related </w:t>
      </w:r>
      <w:r w:rsidRPr="00BD02A9">
        <w:rPr>
          <w:rFonts w:ascii="Arial" w:hAnsi="Arial" w:cs="Arial"/>
          <w:sz w:val="22"/>
          <w:szCs w:val="22"/>
          <w:lang w:val="en-AU"/>
        </w:rPr>
        <w:t>compliance with tax obligations.</w:t>
      </w:r>
    </w:p>
    <w:p w14:paraId="56CC7978" w14:textId="77777777" w:rsidR="007D6D71" w:rsidRDefault="007D6D71" w:rsidP="00A14E8E">
      <w:pPr>
        <w:rPr>
          <w:rFonts w:ascii="Arial" w:hAnsi="Arial" w:cs="Arial"/>
          <w:sz w:val="22"/>
          <w:szCs w:val="22"/>
          <w:lang w:val="en-AU"/>
        </w:rPr>
      </w:pPr>
    </w:p>
    <w:p w14:paraId="6CAC2C09" w14:textId="745FD95F" w:rsidR="007D6D71" w:rsidRPr="00BD02A9" w:rsidRDefault="007D6D71" w:rsidP="00A14E8E">
      <w:pPr>
        <w:rPr>
          <w:rFonts w:ascii="Arial" w:hAnsi="Arial" w:cs="Arial"/>
          <w:sz w:val="22"/>
          <w:szCs w:val="22"/>
          <w:lang w:val="en-AU"/>
        </w:rPr>
      </w:pPr>
      <w:r>
        <w:rPr>
          <w:rFonts w:ascii="Arial" w:hAnsi="Arial" w:cs="Arial"/>
          <w:sz w:val="22"/>
          <w:szCs w:val="22"/>
          <w:lang w:val="en-AU"/>
        </w:rPr>
        <w:t xml:space="preserve">The </w:t>
      </w:r>
      <w:r w:rsidR="00B809D8">
        <w:rPr>
          <w:rFonts w:ascii="Arial" w:hAnsi="Arial" w:cs="Arial"/>
          <w:sz w:val="22"/>
          <w:szCs w:val="22"/>
          <w:lang w:val="en-AU"/>
        </w:rPr>
        <w:t xml:space="preserve">Director MS X has also advised me that the existing tax debt is causing her significant anxiety and </w:t>
      </w:r>
      <w:r w:rsidR="00A15A91">
        <w:rPr>
          <w:rFonts w:ascii="Arial" w:hAnsi="Arial" w:cs="Arial"/>
          <w:sz w:val="22"/>
          <w:szCs w:val="22"/>
          <w:lang w:val="en-AU"/>
        </w:rPr>
        <w:t>other related mental health issues.</w:t>
      </w:r>
    </w:p>
    <w:p w14:paraId="73DB961F" w14:textId="77777777" w:rsidR="00AF2BAA" w:rsidRPr="00BD02A9" w:rsidRDefault="00AF2BAA" w:rsidP="00AF2BAA">
      <w:pPr>
        <w:pStyle w:val="Default"/>
        <w:rPr>
          <w:rFonts w:ascii="Arial" w:hAnsi="Arial" w:cs="Arial"/>
          <w:color w:val="auto"/>
          <w:sz w:val="22"/>
          <w:szCs w:val="22"/>
        </w:rPr>
      </w:pPr>
    </w:p>
    <w:p w14:paraId="41DAD5A2" w14:textId="77777777" w:rsidR="00F8165A" w:rsidRPr="00BD02A9" w:rsidRDefault="00F8165A" w:rsidP="00F8165A">
      <w:pPr>
        <w:pStyle w:val="Default"/>
        <w:rPr>
          <w:rFonts w:ascii="Arial" w:hAnsi="Arial" w:cs="Arial"/>
          <w:sz w:val="22"/>
          <w:szCs w:val="22"/>
        </w:rPr>
      </w:pPr>
      <w:r w:rsidRPr="00BD02A9">
        <w:rPr>
          <w:rFonts w:ascii="Arial" w:hAnsi="Arial" w:cs="Arial"/>
          <w:sz w:val="22"/>
          <w:szCs w:val="22"/>
        </w:rPr>
        <w:t>In support of this request, we have all attached relevant documents.</w:t>
      </w:r>
    </w:p>
    <w:p w14:paraId="0A4BA5BF" w14:textId="73AF619B" w:rsidR="00F8165A" w:rsidRPr="00BD02A9" w:rsidRDefault="00F8165A" w:rsidP="00F8165A">
      <w:pPr>
        <w:pStyle w:val="Default"/>
        <w:numPr>
          <w:ilvl w:val="0"/>
          <w:numId w:val="5"/>
        </w:numPr>
        <w:rPr>
          <w:rFonts w:ascii="Arial" w:hAnsi="Arial" w:cs="Arial"/>
          <w:color w:val="auto"/>
          <w:sz w:val="22"/>
          <w:szCs w:val="22"/>
        </w:rPr>
      </w:pPr>
      <w:r w:rsidRPr="00BD02A9">
        <w:rPr>
          <w:rFonts w:ascii="Arial" w:hAnsi="Arial" w:cs="Arial"/>
          <w:color w:val="auto"/>
          <w:sz w:val="22"/>
          <w:szCs w:val="22"/>
        </w:rPr>
        <w:t xml:space="preserve">GP Letter from the taxpayer’s physician – Dr </w:t>
      </w:r>
      <w:r w:rsidR="00C50C13">
        <w:rPr>
          <w:rFonts w:ascii="Arial" w:hAnsi="Arial" w:cs="Arial"/>
          <w:color w:val="auto"/>
          <w:sz w:val="22"/>
          <w:szCs w:val="22"/>
        </w:rPr>
        <w:t>X</w:t>
      </w:r>
    </w:p>
    <w:p w14:paraId="42899F8C" w14:textId="79B721E8" w:rsidR="00F8165A" w:rsidRPr="00BD02A9" w:rsidRDefault="00BD654C" w:rsidP="00F8165A">
      <w:pPr>
        <w:pStyle w:val="Default"/>
        <w:numPr>
          <w:ilvl w:val="0"/>
          <w:numId w:val="5"/>
        </w:numPr>
        <w:rPr>
          <w:rFonts w:ascii="Arial" w:hAnsi="Arial" w:cs="Arial"/>
          <w:color w:val="auto"/>
          <w:sz w:val="22"/>
          <w:szCs w:val="22"/>
        </w:rPr>
      </w:pPr>
      <w:r>
        <w:rPr>
          <w:rFonts w:ascii="Arial" w:hAnsi="Arial" w:cs="Arial"/>
          <w:color w:val="auto"/>
          <w:sz w:val="22"/>
          <w:szCs w:val="22"/>
        </w:rPr>
        <w:t>NetSuite Invoice showing the discount</w:t>
      </w:r>
      <w:r w:rsidR="00817BDD">
        <w:rPr>
          <w:rFonts w:ascii="Arial" w:hAnsi="Arial" w:cs="Arial"/>
          <w:color w:val="auto"/>
          <w:sz w:val="22"/>
          <w:szCs w:val="22"/>
        </w:rPr>
        <w:t xml:space="preserve"> which was given due to the issues with its implementation</w:t>
      </w:r>
    </w:p>
    <w:p w14:paraId="26165580" w14:textId="77777777" w:rsidR="00F8165A" w:rsidRPr="00BD02A9" w:rsidRDefault="00F8165A" w:rsidP="00AF2BAA">
      <w:pPr>
        <w:pStyle w:val="Default"/>
        <w:rPr>
          <w:rFonts w:ascii="Arial" w:hAnsi="Arial" w:cs="Arial"/>
          <w:color w:val="auto"/>
          <w:sz w:val="22"/>
          <w:szCs w:val="22"/>
        </w:rPr>
      </w:pPr>
    </w:p>
    <w:p w14:paraId="077CF248" w14:textId="77777777" w:rsidR="00FB4975" w:rsidRPr="00BD02A9" w:rsidRDefault="00FB4975" w:rsidP="00AF2BAA">
      <w:pPr>
        <w:pStyle w:val="Default"/>
        <w:rPr>
          <w:rFonts w:ascii="Arial" w:hAnsi="Arial" w:cs="Arial"/>
          <w:color w:val="auto"/>
          <w:sz w:val="22"/>
          <w:szCs w:val="22"/>
        </w:rPr>
      </w:pPr>
    </w:p>
    <w:p w14:paraId="1BFFAF09" w14:textId="79F399D1" w:rsidR="00FB4975" w:rsidRPr="00BD02A9" w:rsidRDefault="00641578" w:rsidP="00AF2BAA">
      <w:pPr>
        <w:pStyle w:val="Default"/>
        <w:rPr>
          <w:rFonts w:ascii="Arial" w:hAnsi="Arial" w:cs="Arial"/>
          <w:b/>
          <w:bCs/>
          <w:color w:val="auto"/>
          <w:sz w:val="22"/>
          <w:szCs w:val="22"/>
        </w:rPr>
      </w:pPr>
      <w:r w:rsidRPr="00BD02A9">
        <w:rPr>
          <w:rFonts w:ascii="Arial" w:hAnsi="Arial" w:cs="Arial"/>
          <w:b/>
          <w:bCs/>
          <w:color w:val="auto"/>
          <w:sz w:val="22"/>
          <w:szCs w:val="22"/>
        </w:rPr>
        <w:t>GROUND C: GOOD COMPLIANCE RECORD</w:t>
      </w:r>
      <w:r w:rsidR="00DD3012">
        <w:rPr>
          <w:rFonts w:ascii="Arial" w:hAnsi="Arial" w:cs="Arial"/>
          <w:b/>
          <w:bCs/>
          <w:color w:val="auto"/>
          <w:sz w:val="22"/>
          <w:szCs w:val="22"/>
        </w:rPr>
        <w:t xml:space="preserve"> – Part A</w:t>
      </w:r>
    </w:p>
    <w:p w14:paraId="5926EFB7" w14:textId="77777777" w:rsidR="00FB4975" w:rsidRPr="00BD02A9" w:rsidRDefault="00FB4975" w:rsidP="00AF2BAA">
      <w:pPr>
        <w:pStyle w:val="Default"/>
        <w:rPr>
          <w:rFonts w:ascii="Arial" w:hAnsi="Arial" w:cs="Arial"/>
          <w:color w:val="auto"/>
          <w:sz w:val="22"/>
          <w:szCs w:val="22"/>
        </w:rPr>
      </w:pPr>
    </w:p>
    <w:p w14:paraId="3CBF385B" w14:textId="34AAD7BA" w:rsidR="007F607C" w:rsidRPr="00BD02A9" w:rsidRDefault="007F607C" w:rsidP="00AF2BAA">
      <w:pPr>
        <w:pStyle w:val="Default"/>
        <w:rPr>
          <w:rFonts w:ascii="Arial" w:hAnsi="Arial" w:cs="Arial"/>
          <w:color w:val="auto"/>
          <w:sz w:val="22"/>
          <w:szCs w:val="22"/>
        </w:rPr>
      </w:pPr>
      <w:r w:rsidRPr="00BD02A9">
        <w:rPr>
          <w:rFonts w:ascii="Arial" w:hAnsi="Arial" w:cs="Arial"/>
          <w:color w:val="auto"/>
          <w:sz w:val="22"/>
          <w:szCs w:val="22"/>
        </w:rPr>
        <w:t xml:space="preserve">We are also submitting that the </w:t>
      </w:r>
      <w:r w:rsidR="00546871" w:rsidRPr="00BD02A9">
        <w:rPr>
          <w:rFonts w:ascii="Arial" w:hAnsi="Arial" w:cs="Arial"/>
          <w:color w:val="auto"/>
          <w:sz w:val="22"/>
          <w:szCs w:val="22"/>
        </w:rPr>
        <w:t xml:space="preserve">taxpayer now has a good compliance record, when considering the totality of </w:t>
      </w:r>
      <w:r w:rsidR="00117C55" w:rsidRPr="00BD02A9">
        <w:rPr>
          <w:rFonts w:ascii="Arial" w:hAnsi="Arial" w:cs="Arial"/>
          <w:color w:val="auto"/>
          <w:sz w:val="22"/>
          <w:szCs w:val="22"/>
        </w:rPr>
        <w:t>serious</w:t>
      </w:r>
      <w:r w:rsidR="00546871" w:rsidRPr="00BD02A9">
        <w:rPr>
          <w:rFonts w:ascii="Arial" w:hAnsi="Arial" w:cs="Arial"/>
          <w:color w:val="auto"/>
          <w:sz w:val="22"/>
          <w:szCs w:val="22"/>
        </w:rPr>
        <w:t xml:space="preserve"> adverse external </w:t>
      </w:r>
      <w:r w:rsidR="001136D2" w:rsidRPr="00BD02A9">
        <w:rPr>
          <w:rFonts w:ascii="Arial" w:hAnsi="Arial" w:cs="Arial"/>
          <w:color w:val="auto"/>
          <w:sz w:val="22"/>
          <w:szCs w:val="22"/>
        </w:rPr>
        <w:t xml:space="preserve">events </w:t>
      </w:r>
      <w:r w:rsidR="00446F99" w:rsidRPr="00BD02A9">
        <w:rPr>
          <w:rFonts w:ascii="Arial" w:hAnsi="Arial" w:cs="Arial"/>
          <w:color w:val="auto"/>
          <w:sz w:val="22"/>
          <w:szCs w:val="22"/>
        </w:rPr>
        <w:t>that had to be confronted. For example:</w:t>
      </w:r>
    </w:p>
    <w:p w14:paraId="042DEC9B" w14:textId="1E05FB23" w:rsidR="00446F99" w:rsidRPr="00BD02A9" w:rsidRDefault="00663DCC" w:rsidP="00446F99">
      <w:pPr>
        <w:pStyle w:val="Default"/>
        <w:numPr>
          <w:ilvl w:val="0"/>
          <w:numId w:val="8"/>
        </w:numPr>
        <w:rPr>
          <w:rFonts w:ascii="Arial" w:hAnsi="Arial" w:cs="Arial"/>
          <w:color w:val="auto"/>
          <w:sz w:val="22"/>
          <w:szCs w:val="22"/>
        </w:rPr>
      </w:pPr>
      <w:r w:rsidRPr="00BD02A9">
        <w:rPr>
          <w:rFonts w:ascii="Arial" w:hAnsi="Arial" w:cs="Arial"/>
          <w:color w:val="auto"/>
          <w:sz w:val="22"/>
          <w:szCs w:val="22"/>
        </w:rPr>
        <w:t xml:space="preserve">All ATO </w:t>
      </w:r>
      <w:r w:rsidR="00446F99" w:rsidRPr="00BD02A9">
        <w:rPr>
          <w:rFonts w:ascii="Arial" w:hAnsi="Arial" w:cs="Arial"/>
          <w:color w:val="auto"/>
          <w:sz w:val="22"/>
          <w:szCs w:val="22"/>
        </w:rPr>
        <w:t>lodgement obligations are all up to date</w:t>
      </w:r>
      <w:r w:rsidR="00646D83" w:rsidRPr="00BD02A9">
        <w:rPr>
          <w:rFonts w:ascii="Arial" w:hAnsi="Arial" w:cs="Arial"/>
          <w:color w:val="auto"/>
          <w:sz w:val="22"/>
          <w:szCs w:val="22"/>
        </w:rPr>
        <w:t>.</w:t>
      </w:r>
      <w:r w:rsidR="00446F99" w:rsidRPr="00BD02A9">
        <w:rPr>
          <w:rFonts w:ascii="Arial" w:hAnsi="Arial" w:cs="Arial"/>
          <w:color w:val="auto"/>
          <w:sz w:val="22"/>
          <w:szCs w:val="22"/>
        </w:rPr>
        <w:t xml:space="preserve"> </w:t>
      </w:r>
    </w:p>
    <w:p w14:paraId="144B424C" w14:textId="66803D96" w:rsidR="00455BB6" w:rsidRPr="00BD02A9" w:rsidRDefault="00663DCC" w:rsidP="00446F99">
      <w:pPr>
        <w:pStyle w:val="Default"/>
        <w:numPr>
          <w:ilvl w:val="0"/>
          <w:numId w:val="8"/>
        </w:numPr>
        <w:rPr>
          <w:rFonts w:ascii="Arial" w:hAnsi="Arial" w:cs="Arial"/>
          <w:color w:val="auto"/>
          <w:sz w:val="22"/>
          <w:szCs w:val="22"/>
        </w:rPr>
      </w:pPr>
      <w:r w:rsidRPr="00BD02A9">
        <w:rPr>
          <w:rFonts w:ascii="Arial" w:hAnsi="Arial" w:cs="Arial"/>
          <w:color w:val="auto"/>
          <w:sz w:val="22"/>
          <w:szCs w:val="22"/>
        </w:rPr>
        <w:t>A</w:t>
      </w:r>
      <w:r w:rsidR="00470C3E" w:rsidRPr="00BD02A9">
        <w:rPr>
          <w:rFonts w:ascii="Arial" w:hAnsi="Arial" w:cs="Arial"/>
          <w:color w:val="auto"/>
          <w:sz w:val="22"/>
          <w:szCs w:val="22"/>
        </w:rPr>
        <w:t xml:space="preserve">ll current debts </w:t>
      </w:r>
      <w:r w:rsidRPr="00BD02A9">
        <w:rPr>
          <w:rFonts w:ascii="Arial" w:hAnsi="Arial" w:cs="Arial"/>
          <w:color w:val="auto"/>
          <w:sz w:val="22"/>
          <w:szCs w:val="22"/>
        </w:rPr>
        <w:t xml:space="preserve">are </w:t>
      </w:r>
      <w:r w:rsidR="00470C3E" w:rsidRPr="00BD02A9">
        <w:rPr>
          <w:rFonts w:ascii="Arial" w:hAnsi="Arial" w:cs="Arial"/>
          <w:color w:val="auto"/>
          <w:sz w:val="22"/>
          <w:szCs w:val="22"/>
        </w:rPr>
        <w:t xml:space="preserve">in a complying </w:t>
      </w:r>
      <w:r w:rsidR="00455BB6" w:rsidRPr="00BD02A9">
        <w:rPr>
          <w:rFonts w:ascii="Arial" w:hAnsi="Arial" w:cs="Arial"/>
          <w:color w:val="auto"/>
          <w:sz w:val="22"/>
          <w:szCs w:val="22"/>
        </w:rPr>
        <w:t>payment arrangement</w:t>
      </w:r>
      <w:r w:rsidR="00646D83" w:rsidRPr="00BD02A9">
        <w:rPr>
          <w:rFonts w:ascii="Arial" w:hAnsi="Arial" w:cs="Arial"/>
          <w:color w:val="auto"/>
          <w:sz w:val="22"/>
          <w:szCs w:val="22"/>
        </w:rPr>
        <w:t>.</w:t>
      </w:r>
      <w:r w:rsidR="00455BB6" w:rsidRPr="00BD02A9">
        <w:rPr>
          <w:rFonts w:ascii="Arial" w:hAnsi="Arial" w:cs="Arial"/>
          <w:color w:val="auto"/>
          <w:sz w:val="22"/>
          <w:szCs w:val="22"/>
        </w:rPr>
        <w:t xml:space="preserve"> </w:t>
      </w:r>
    </w:p>
    <w:p w14:paraId="602CD227" w14:textId="60C79575" w:rsidR="009F1454" w:rsidRPr="00BD02A9" w:rsidRDefault="00663DCC" w:rsidP="00446F99">
      <w:pPr>
        <w:pStyle w:val="Default"/>
        <w:numPr>
          <w:ilvl w:val="0"/>
          <w:numId w:val="8"/>
        </w:numPr>
        <w:rPr>
          <w:rFonts w:ascii="Arial" w:hAnsi="Arial" w:cs="Arial"/>
          <w:color w:val="auto"/>
          <w:sz w:val="22"/>
          <w:szCs w:val="22"/>
        </w:rPr>
      </w:pPr>
      <w:r w:rsidRPr="00BD02A9">
        <w:rPr>
          <w:rFonts w:ascii="Arial" w:hAnsi="Arial" w:cs="Arial"/>
          <w:color w:val="auto"/>
          <w:sz w:val="22"/>
          <w:szCs w:val="22"/>
        </w:rPr>
        <w:t xml:space="preserve">Our client is willing </w:t>
      </w:r>
      <w:r w:rsidR="00D75BF8" w:rsidRPr="00BD02A9">
        <w:rPr>
          <w:rFonts w:ascii="Arial" w:hAnsi="Arial" w:cs="Arial"/>
          <w:color w:val="auto"/>
          <w:sz w:val="22"/>
          <w:szCs w:val="22"/>
        </w:rPr>
        <w:t>to make additional voluntary pa</w:t>
      </w:r>
      <w:r w:rsidR="00D00304" w:rsidRPr="00BD02A9">
        <w:rPr>
          <w:rFonts w:ascii="Arial" w:hAnsi="Arial" w:cs="Arial"/>
          <w:color w:val="auto"/>
          <w:sz w:val="22"/>
          <w:szCs w:val="22"/>
        </w:rPr>
        <w:t xml:space="preserve">yments when </w:t>
      </w:r>
      <w:r w:rsidR="00646D83" w:rsidRPr="00BD02A9">
        <w:rPr>
          <w:rFonts w:ascii="Arial" w:hAnsi="Arial" w:cs="Arial"/>
          <w:color w:val="auto"/>
          <w:sz w:val="22"/>
          <w:szCs w:val="22"/>
        </w:rPr>
        <w:t>their finances enable them to do so.</w:t>
      </w:r>
    </w:p>
    <w:p w14:paraId="334AAE02" w14:textId="77777777" w:rsidR="00A03958" w:rsidRDefault="00A03958" w:rsidP="00B77CE0">
      <w:pPr>
        <w:pStyle w:val="Default"/>
        <w:ind w:left="720"/>
        <w:rPr>
          <w:rFonts w:ascii="Arial" w:hAnsi="Arial" w:cs="Arial"/>
          <w:color w:val="auto"/>
          <w:sz w:val="22"/>
          <w:szCs w:val="22"/>
        </w:rPr>
      </w:pPr>
    </w:p>
    <w:p w14:paraId="777E839E" w14:textId="2B89DDF4" w:rsidR="00DD3012" w:rsidRDefault="00DD3012" w:rsidP="00DD3012">
      <w:pPr>
        <w:pStyle w:val="Default"/>
        <w:rPr>
          <w:rFonts w:ascii="Arial" w:hAnsi="Arial" w:cs="Arial"/>
          <w:b/>
          <w:bCs/>
          <w:color w:val="auto"/>
          <w:sz w:val="22"/>
          <w:szCs w:val="22"/>
        </w:rPr>
      </w:pPr>
      <w:r w:rsidRPr="00BD02A9">
        <w:rPr>
          <w:rFonts w:ascii="Arial" w:hAnsi="Arial" w:cs="Arial"/>
          <w:b/>
          <w:bCs/>
          <w:color w:val="auto"/>
          <w:sz w:val="22"/>
          <w:szCs w:val="22"/>
        </w:rPr>
        <w:t>GROUND C: G</w:t>
      </w:r>
      <w:r>
        <w:rPr>
          <w:rFonts w:ascii="Arial" w:hAnsi="Arial" w:cs="Arial"/>
          <w:b/>
          <w:bCs/>
          <w:color w:val="auto"/>
          <w:sz w:val="22"/>
          <w:szCs w:val="22"/>
        </w:rPr>
        <w:t xml:space="preserve">ENERAL PRINCIPLES FOR MAKING ATO DECISIONS </w:t>
      </w:r>
      <w:r w:rsidR="00BB5B28">
        <w:rPr>
          <w:rFonts w:ascii="Arial" w:hAnsi="Arial" w:cs="Arial"/>
          <w:b/>
          <w:bCs/>
          <w:color w:val="auto"/>
          <w:sz w:val="22"/>
          <w:szCs w:val="22"/>
        </w:rPr>
        <w:t>– Part B</w:t>
      </w:r>
    </w:p>
    <w:p w14:paraId="6E5C7066" w14:textId="77777777" w:rsidR="002C79AB" w:rsidRDefault="002C79AB" w:rsidP="002C79AB">
      <w:pPr>
        <w:pStyle w:val="Default"/>
        <w:rPr>
          <w:sz w:val="22"/>
          <w:szCs w:val="22"/>
        </w:rPr>
      </w:pPr>
    </w:p>
    <w:p w14:paraId="1DA4AEAC" w14:textId="77777777" w:rsidR="002C79AB" w:rsidRDefault="002C79AB" w:rsidP="002C79AB">
      <w:pPr>
        <w:pStyle w:val="BodyText"/>
        <w:spacing w:before="240"/>
      </w:pPr>
      <w:r>
        <w:t>The following table provides a summary of key types of ATO advice and guidance products, along with:</w:t>
      </w:r>
    </w:p>
    <w:p w14:paraId="51CDB62E" w14:textId="77777777" w:rsidR="002C79AB" w:rsidRDefault="002C79AB" w:rsidP="002C79AB">
      <w:pPr>
        <w:pStyle w:val="ListBullet"/>
      </w:pPr>
      <w:r>
        <w:t>the extent to which they are binding on the Commissioner, and</w:t>
      </w:r>
    </w:p>
    <w:p w14:paraId="5BD2D74E" w14:textId="77777777" w:rsidR="002C79AB" w:rsidRPr="006E20DF" w:rsidRDefault="002C79AB" w:rsidP="002C79AB">
      <w:pPr>
        <w:pStyle w:val="ListBullet"/>
        <w:spacing w:after="240"/>
      </w:pPr>
      <w:r>
        <w:t>the level of protection they afford to taxpayers who rely on them.</w:t>
      </w:r>
      <w:r>
        <w:rPr>
          <w:rStyle w:val="FootnoteReference"/>
        </w:rPr>
        <w:footnoteReference w:id="1"/>
      </w:r>
    </w:p>
    <w:tbl>
      <w:tblPr>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000" w:firstRow="0" w:lastRow="0" w:firstColumn="0" w:lastColumn="0" w:noHBand="0" w:noVBand="0"/>
      </w:tblPr>
      <w:tblGrid>
        <w:gridCol w:w="4003"/>
        <w:gridCol w:w="1677"/>
        <w:gridCol w:w="974"/>
        <w:gridCol w:w="1249"/>
        <w:gridCol w:w="1113"/>
      </w:tblGrid>
      <w:tr w:rsidR="002C79AB" w14:paraId="6CE02DA2" w14:textId="77777777" w:rsidTr="002C79AB">
        <w:trPr>
          <w:cantSplit/>
          <w:tblHeader/>
        </w:trPr>
        <w:tc>
          <w:tcPr>
            <w:tcW w:w="2221" w:type="pct"/>
            <w:vMerge w:val="restart"/>
            <w:shd w:val="clear" w:color="auto" w:fill="D9D9D9" w:themeFill="background1" w:themeFillShade="D9"/>
            <w:vAlign w:val="center"/>
          </w:tcPr>
          <w:p w14:paraId="6907E65F" w14:textId="77777777" w:rsidR="002C79AB" w:rsidRDefault="002C79AB" w:rsidP="00B24F11">
            <w:pPr>
              <w:pStyle w:val="TableHeading"/>
              <w:spacing w:before="100" w:after="100"/>
            </w:pPr>
            <w:r>
              <w:t>ATO advice/guidance type</w:t>
            </w:r>
          </w:p>
        </w:tc>
        <w:tc>
          <w:tcPr>
            <w:tcW w:w="926" w:type="pct"/>
            <w:vMerge w:val="restart"/>
            <w:shd w:val="clear" w:color="auto" w:fill="D9D9D9" w:themeFill="background1" w:themeFillShade="D9"/>
            <w:vAlign w:val="center"/>
          </w:tcPr>
          <w:p w14:paraId="6F1DB369" w14:textId="77777777" w:rsidR="002C79AB" w:rsidRDefault="002C79AB" w:rsidP="00B24F11">
            <w:pPr>
              <w:pStyle w:val="TableHeading"/>
              <w:spacing w:before="100" w:after="100"/>
            </w:pPr>
            <w:r>
              <w:t>Binding on ATO?</w:t>
            </w:r>
          </w:p>
        </w:tc>
        <w:tc>
          <w:tcPr>
            <w:tcW w:w="1853" w:type="pct"/>
            <w:gridSpan w:val="3"/>
            <w:shd w:val="clear" w:color="auto" w:fill="D9D9D9" w:themeFill="background1" w:themeFillShade="D9"/>
          </w:tcPr>
          <w:p w14:paraId="6178A85F" w14:textId="77777777" w:rsidR="002C79AB" w:rsidRDefault="002C79AB" w:rsidP="00B24F11">
            <w:pPr>
              <w:pStyle w:val="TableHeading"/>
              <w:spacing w:before="100" w:after="100"/>
            </w:pPr>
            <w:r>
              <w:t>Protects taxpayer from:</w:t>
            </w:r>
          </w:p>
        </w:tc>
      </w:tr>
      <w:tr w:rsidR="002C79AB" w14:paraId="083DFD3B" w14:textId="77777777" w:rsidTr="002C79AB">
        <w:trPr>
          <w:cantSplit/>
        </w:trPr>
        <w:tc>
          <w:tcPr>
            <w:tcW w:w="2221" w:type="pct"/>
            <w:vMerge/>
            <w:shd w:val="clear" w:color="auto" w:fill="D9D9D9" w:themeFill="background1" w:themeFillShade="D9"/>
          </w:tcPr>
          <w:p w14:paraId="6F4399FB" w14:textId="77777777" w:rsidR="002C79AB" w:rsidRDefault="002C79AB" w:rsidP="00B24F11">
            <w:pPr>
              <w:pStyle w:val="BodyText"/>
              <w:spacing w:before="100" w:after="100"/>
            </w:pPr>
          </w:p>
        </w:tc>
        <w:tc>
          <w:tcPr>
            <w:tcW w:w="926" w:type="pct"/>
            <w:vMerge/>
            <w:shd w:val="clear" w:color="auto" w:fill="D9D9D9" w:themeFill="background1" w:themeFillShade="D9"/>
          </w:tcPr>
          <w:p w14:paraId="0F773563" w14:textId="77777777" w:rsidR="002C79AB" w:rsidRDefault="002C79AB" w:rsidP="00B24F11">
            <w:pPr>
              <w:pStyle w:val="BodyText"/>
              <w:spacing w:before="100" w:after="100"/>
              <w:jc w:val="left"/>
            </w:pPr>
          </w:p>
        </w:tc>
        <w:tc>
          <w:tcPr>
            <w:tcW w:w="541" w:type="pct"/>
            <w:shd w:val="clear" w:color="auto" w:fill="D9D9D9" w:themeFill="background1" w:themeFillShade="D9"/>
          </w:tcPr>
          <w:p w14:paraId="6B47CC89" w14:textId="77777777" w:rsidR="002C79AB" w:rsidRPr="003B6F97" w:rsidRDefault="002C79AB" w:rsidP="00B24F11">
            <w:pPr>
              <w:pStyle w:val="TableHeading"/>
              <w:spacing w:before="100" w:after="100"/>
              <w:rPr>
                <w:sz w:val="20"/>
                <w:szCs w:val="20"/>
              </w:rPr>
            </w:pPr>
            <w:r w:rsidRPr="003B6F97">
              <w:rPr>
                <w:sz w:val="20"/>
                <w:szCs w:val="20"/>
              </w:rPr>
              <w:t>Shortfall</w:t>
            </w:r>
          </w:p>
        </w:tc>
        <w:tc>
          <w:tcPr>
            <w:tcW w:w="694" w:type="pct"/>
            <w:shd w:val="clear" w:color="auto" w:fill="D9D9D9" w:themeFill="background1" w:themeFillShade="D9"/>
          </w:tcPr>
          <w:p w14:paraId="3C7E9F1A" w14:textId="77777777" w:rsidR="002C79AB" w:rsidRPr="003B6F97" w:rsidRDefault="002C79AB" w:rsidP="00B24F11">
            <w:pPr>
              <w:pStyle w:val="TableHeading"/>
              <w:spacing w:before="100" w:after="100"/>
              <w:rPr>
                <w:sz w:val="20"/>
                <w:szCs w:val="20"/>
              </w:rPr>
            </w:pPr>
            <w:r w:rsidRPr="003B6F97">
              <w:rPr>
                <w:sz w:val="20"/>
                <w:szCs w:val="20"/>
              </w:rPr>
              <w:t>Penalties</w:t>
            </w:r>
            <w:r>
              <w:rPr>
                <w:rStyle w:val="FootnoteReference"/>
                <w:sz w:val="20"/>
                <w:szCs w:val="20"/>
              </w:rPr>
              <w:footnoteReference w:id="2"/>
            </w:r>
          </w:p>
        </w:tc>
        <w:tc>
          <w:tcPr>
            <w:tcW w:w="618" w:type="pct"/>
            <w:shd w:val="clear" w:color="auto" w:fill="D9D9D9" w:themeFill="background1" w:themeFillShade="D9"/>
          </w:tcPr>
          <w:p w14:paraId="60AA81AF" w14:textId="77777777" w:rsidR="002C79AB" w:rsidRPr="003B6F97" w:rsidRDefault="002C79AB" w:rsidP="00B24F11">
            <w:pPr>
              <w:pStyle w:val="TableHeading"/>
              <w:spacing w:before="100" w:after="100"/>
              <w:rPr>
                <w:sz w:val="20"/>
                <w:szCs w:val="20"/>
              </w:rPr>
            </w:pPr>
            <w:r w:rsidRPr="003B6F97">
              <w:rPr>
                <w:sz w:val="20"/>
                <w:szCs w:val="20"/>
              </w:rPr>
              <w:t>Interest</w:t>
            </w:r>
            <w:r>
              <w:rPr>
                <w:rStyle w:val="FootnoteReference"/>
                <w:sz w:val="20"/>
                <w:szCs w:val="20"/>
              </w:rPr>
              <w:footnoteReference w:id="3"/>
            </w:r>
          </w:p>
        </w:tc>
      </w:tr>
      <w:tr w:rsidR="002C79AB" w14:paraId="6323FD02" w14:textId="77777777" w:rsidTr="002C79AB">
        <w:trPr>
          <w:cantSplit/>
        </w:trPr>
        <w:tc>
          <w:tcPr>
            <w:tcW w:w="2221" w:type="pct"/>
          </w:tcPr>
          <w:p w14:paraId="4D286E10" w14:textId="77777777" w:rsidR="002C79AB" w:rsidRPr="00192BE6" w:rsidRDefault="002C79AB" w:rsidP="00B24F11">
            <w:pPr>
              <w:pStyle w:val="BodyText"/>
              <w:spacing w:before="100" w:after="100"/>
              <w:jc w:val="left"/>
            </w:pPr>
            <w:r>
              <w:rPr>
                <w:b/>
              </w:rPr>
              <w:t>Public ruling</w:t>
            </w:r>
            <w:r>
              <w:t xml:space="preserve"> </w:t>
            </w:r>
            <w:r>
              <w:br/>
              <w:t xml:space="preserve">(Div 358 of Schedule 1 to the </w:t>
            </w:r>
            <w:r>
              <w:rPr>
                <w:i/>
              </w:rPr>
              <w:t>TAA</w:t>
            </w:r>
            <w:r>
              <w:t>)</w:t>
            </w:r>
          </w:p>
        </w:tc>
        <w:tc>
          <w:tcPr>
            <w:tcW w:w="926" w:type="pct"/>
          </w:tcPr>
          <w:p w14:paraId="23134D68" w14:textId="77777777" w:rsidR="002C79AB" w:rsidRDefault="002C79AB" w:rsidP="00B24F11">
            <w:pPr>
              <w:pStyle w:val="BodyText"/>
              <w:spacing w:before="100" w:after="100"/>
              <w:jc w:val="center"/>
            </w:pPr>
            <w:r>
              <w:t>Legally binding</w:t>
            </w:r>
          </w:p>
        </w:tc>
        <w:tc>
          <w:tcPr>
            <w:tcW w:w="541" w:type="pct"/>
          </w:tcPr>
          <w:p w14:paraId="368D5058" w14:textId="77777777" w:rsidR="002C79AB" w:rsidRPr="004C286A" w:rsidRDefault="002C79AB" w:rsidP="00B24F11">
            <w:pPr>
              <w:pStyle w:val="BodyText"/>
              <w:spacing w:before="100" w:after="100"/>
              <w:jc w:val="center"/>
              <w:rPr>
                <w:color w:val="4EA72E" w:themeColor="accent6"/>
              </w:rPr>
            </w:pPr>
            <w:r w:rsidRPr="004C286A">
              <w:rPr>
                <w:rFonts w:hAnsi="Wingdings"/>
                <w:b/>
                <w:bCs/>
                <w:color w:val="4EA72E" w:themeColor="accent6"/>
                <w:sz w:val="40"/>
                <w:szCs w:val="40"/>
              </w:rPr>
              <w:sym w:font="Wingdings" w:char="F0FC"/>
            </w:r>
          </w:p>
        </w:tc>
        <w:tc>
          <w:tcPr>
            <w:tcW w:w="694" w:type="pct"/>
          </w:tcPr>
          <w:p w14:paraId="66501755" w14:textId="77777777" w:rsidR="002C79AB" w:rsidRPr="004C286A" w:rsidRDefault="002C79AB" w:rsidP="00B24F11">
            <w:pPr>
              <w:pStyle w:val="BodyText"/>
              <w:spacing w:before="100" w:after="100"/>
              <w:jc w:val="center"/>
              <w:rPr>
                <w:color w:val="4EA72E" w:themeColor="accent6"/>
              </w:rPr>
            </w:pPr>
            <w:r w:rsidRPr="004C286A">
              <w:rPr>
                <w:rFonts w:hAnsi="Wingdings"/>
                <w:b/>
                <w:bCs/>
                <w:color w:val="4EA72E" w:themeColor="accent6"/>
                <w:sz w:val="40"/>
                <w:szCs w:val="40"/>
              </w:rPr>
              <w:sym w:font="Wingdings" w:char="F0FC"/>
            </w:r>
            <w:r w:rsidRPr="004C286A">
              <w:rPr>
                <w:color w:val="4EA72E" w:themeColor="accent6"/>
              </w:rPr>
              <w:t xml:space="preserve"> </w:t>
            </w:r>
          </w:p>
        </w:tc>
        <w:tc>
          <w:tcPr>
            <w:tcW w:w="618" w:type="pct"/>
          </w:tcPr>
          <w:p w14:paraId="299C1024" w14:textId="77777777" w:rsidR="002C79AB" w:rsidRPr="004C286A" w:rsidRDefault="002C79AB" w:rsidP="00B24F11">
            <w:pPr>
              <w:pStyle w:val="BodyText"/>
              <w:spacing w:before="100" w:after="100"/>
              <w:jc w:val="center"/>
              <w:rPr>
                <w:color w:val="4EA72E" w:themeColor="accent6"/>
              </w:rPr>
            </w:pPr>
            <w:r w:rsidRPr="004C286A">
              <w:rPr>
                <w:rFonts w:hAnsi="Wingdings"/>
                <w:b/>
                <w:bCs/>
                <w:color w:val="4EA72E" w:themeColor="accent6"/>
                <w:sz w:val="40"/>
                <w:szCs w:val="40"/>
              </w:rPr>
              <w:sym w:font="Wingdings" w:char="F0FC"/>
            </w:r>
            <w:r w:rsidRPr="004C286A">
              <w:rPr>
                <w:color w:val="4EA72E" w:themeColor="accent6"/>
              </w:rPr>
              <w:t xml:space="preserve"> </w:t>
            </w:r>
          </w:p>
        </w:tc>
      </w:tr>
      <w:tr w:rsidR="002C79AB" w14:paraId="3AA66FFC" w14:textId="77777777" w:rsidTr="002C79AB">
        <w:trPr>
          <w:cantSplit/>
        </w:trPr>
        <w:tc>
          <w:tcPr>
            <w:tcW w:w="2221" w:type="pct"/>
          </w:tcPr>
          <w:p w14:paraId="7EEC9034" w14:textId="77777777" w:rsidR="002C79AB" w:rsidRDefault="002C79AB" w:rsidP="00B24F11">
            <w:pPr>
              <w:pStyle w:val="BodyText"/>
              <w:spacing w:before="100" w:after="100"/>
              <w:jc w:val="left"/>
            </w:pPr>
            <w:r w:rsidRPr="003B6F97">
              <w:rPr>
                <w:b/>
              </w:rPr>
              <w:t>Administratively binding advice</w:t>
            </w:r>
            <w:r w:rsidRPr="00192BE6">
              <w:t xml:space="preserve"> </w:t>
            </w:r>
            <w:r>
              <w:br/>
              <w:t>e.g. MT series</w:t>
            </w:r>
            <w:r>
              <w:rPr>
                <w:rStyle w:val="FootnoteReference"/>
              </w:rPr>
              <w:footnoteReference w:id="4"/>
            </w:r>
            <w:r w:rsidRPr="00192BE6">
              <w:t xml:space="preserve"> </w:t>
            </w:r>
          </w:p>
        </w:tc>
        <w:tc>
          <w:tcPr>
            <w:tcW w:w="926" w:type="pct"/>
          </w:tcPr>
          <w:p w14:paraId="54650D88" w14:textId="77777777" w:rsidR="002C79AB" w:rsidRPr="00192BE6" w:rsidRDefault="002C79AB" w:rsidP="00B24F11">
            <w:pPr>
              <w:pStyle w:val="BodyText"/>
              <w:spacing w:before="100" w:after="100"/>
              <w:jc w:val="center"/>
            </w:pPr>
            <w:r>
              <w:t>Administratively binding</w:t>
            </w:r>
          </w:p>
        </w:tc>
        <w:tc>
          <w:tcPr>
            <w:tcW w:w="541" w:type="pct"/>
          </w:tcPr>
          <w:p w14:paraId="43C4F0F3" w14:textId="77777777" w:rsidR="002C79AB" w:rsidRPr="004C286A" w:rsidRDefault="002C79AB" w:rsidP="00B24F11">
            <w:pPr>
              <w:pStyle w:val="BodyText"/>
              <w:spacing w:before="100" w:after="100"/>
              <w:jc w:val="center"/>
              <w:rPr>
                <w:color w:val="4EA72E" w:themeColor="accent6"/>
              </w:rPr>
            </w:pPr>
            <w:r w:rsidRPr="004C286A">
              <w:rPr>
                <w:rFonts w:hAnsi="Wingdings"/>
                <w:b/>
                <w:bCs/>
                <w:color w:val="4EA72E" w:themeColor="accent6"/>
                <w:sz w:val="40"/>
                <w:szCs w:val="40"/>
              </w:rPr>
              <w:sym w:font="Wingdings" w:char="F0FC"/>
            </w:r>
          </w:p>
        </w:tc>
        <w:tc>
          <w:tcPr>
            <w:tcW w:w="694" w:type="pct"/>
          </w:tcPr>
          <w:p w14:paraId="755C6C3F" w14:textId="77777777" w:rsidR="002C79AB" w:rsidRPr="004C286A" w:rsidRDefault="002C79AB" w:rsidP="00B24F11">
            <w:pPr>
              <w:pStyle w:val="BodyText"/>
              <w:spacing w:before="100" w:after="100"/>
              <w:jc w:val="center"/>
              <w:rPr>
                <w:color w:val="4EA72E" w:themeColor="accent6"/>
              </w:rPr>
            </w:pPr>
            <w:r w:rsidRPr="004C286A">
              <w:rPr>
                <w:rFonts w:hAnsi="Wingdings"/>
                <w:b/>
                <w:bCs/>
                <w:color w:val="4EA72E" w:themeColor="accent6"/>
                <w:sz w:val="40"/>
                <w:szCs w:val="40"/>
              </w:rPr>
              <w:sym w:font="Wingdings" w:char="F0FC"/>
            </w:r>
            <w:r w:rsidRPr="004C286A">
              <w:rPr>
                <w:color w:val="4EA72E" w:themeColor="accent6"/>
              </w:rPr>
              <w:t xml:space="preserve"> </w:t>
            </w:r>
          </w:p>
        </w:tc>
        <w:tc>
          <w:tcPr>
            <w:tcW w:w="618" w:type="pct"/>
          </w:tcPr>
          <w:p w14:paraId="75B1A226" w14:textId="77777777" w:rsidR="002C79AB" w:rsidRPr="004C286A" w:rsidRDefault="002C79AB" w:rsidP="00B24F11">
            <w:pPr>
              <w:pStyle w:val="BodyText"/>
              <w:spacing w:before="100" w:after="100"/>
              <w:jc w:val="center"/>
              <w:rPr>
                <w:color w:val="4EA72E" w:themeColor="accent6"/>
              </w:rPr>
            </w:pPr>
            <w:r w:rsidRPr="004C286A">
              <w:rPr>
                <w:rFonts w:hAnsi="Wingdings"/>
                <w:b/>
                <w:bCs/>
                <w:color w:val="4EA72E" w:themeColor="accent6"/>
                <w:sz w:val="40"/>
                <w:szCs w:val="40"/>
              </w:rPr>
              <w:sym w:font="Wingdings" w:char="F0FC"/>
            </w:r>
            <w:r w:rsidRPr="004C286A">
              <w:rPr>
                <w:color w:val="4EA72E" w:themeColor="accent6"/>
              </w:rPr>
              <w:t xml:space="preserve"> </w:t>
            </w:r>
          </w:p>
        </w:tc>
      </w:tr>
      <w:tr w:rsidR="002C79AB" w14:paraId="04F7DD96" w14:textId="77777777" w:rsidTr="002C79AB">
        <w:trPr>
          <w:cantSplit/>
        </w:trPr>
        <w:tc>
          <w:tcPr>
            <w:tcW w:w="2221" w:type="pct"/>
          </w:tcPr>
          <w:p w14:paraId="1E22EAD8" w14:textId="77777777" w:rsidR="002C79AB" w:rsidRPr="005D02A5" w:rsidRDefault="002C79AB" w:rsidP="00B24F11">
            <w:pPr>
              <w:pStyle w:val="BodyText"/>
              <w:spacing w:before="100" w:after="100"/>
              <w:jc w:val="left"/>
              <w:rPr>
                <w:b/>
                <w:u w:val="single"/>
              </w:rPr>
            </w:pPr>
            <w:r w:rsidRPr="005D02A5">
              <w:rPr>
                <w:b/>
                <w:u w:val="single"/>
              </w:rPr>
              <w:t>Written guidance e.g.</w:t>
            </w:r>
            <w:r w:rsidRPr="005D02A5">
              <w:rPr>
                <w:b/>
                <w:u w:val="single"/>
              </w:rPr>
              <w:br/>
              <w:t>Practice Statements (PS LAs), ATO IDs, DIS and Consultative forum minutes</w:t>
            </w:r>
          </w:p>
        </w:tc>
        <w:tc>
          <w:tcPr>
            <w:tcW w:w="926" w:type="pct"/>
          </w:tcPr>
          <w:p w14:paraId="3C982135" w14:textId="77777777" w:rsidR="002C79AB" w:rsidRPr="005D02A5" w:rsidRDefault="002C79AB" w:rsidP="00B24F11">
            <w:pPr>
              <w:pStyle w:val="BodyText"/>
              <w:spacing w:before="100" w:after="100"/>
              <w:jc w:val="center"/>
              <w:rPr>
                <w:b/>
                <w:u w:val="single"/>
              </w:rPr>
            </w:pPr>
            <w:r w:rsidRPr="005D02A5">
              <w:rPr>
                <w:b/>
                <w:u w:val="single"/>
              </w:rPr>
              <w:t>No</w:t>
            </w:r>
          </w:p>
        </w:tc>
        <w:tc>
          <w:tcPr>
            <w:tcW w:w="541" w:type="pct"/>
          </w:tcPr>
          <w:p w14:paraId="333EC5B2" w14:textId="77777777" w:rsidR="002C79AB" w:rsidRPr="005D02A5" w:rsidRDefault="002C79AB" w:rsidP="00B24F11">
            <w:pPr>
              <w:pStyle w:val="BodyText"/>
              <w:spacing w:before="100" w:after="100"/>
              <w:jc w:val="center"/>
              <w:rPr>
                <w:b/>
                <w:u w:val="single"/>
              </w:rPr>
            </w:pPr>
            <w:r w:rsidRPr="005D02A5">
              <w:rPr>
                <w:rFonts w:ascii="Wingdings 2" w:eastAsia="SimSun" w:hAnsi="Wingdings 2" w:hint="eastAsia"/>
                <w:b/>
                <w:color w:val="C00000"/>
                <w:sz w:val="40"/>
                <w:szCs w:val="40"/>
                <w:u w:val="single"/>
              </w:rPr>
              <w:sym w:font="Wingdings 2" w:char="F04F"/>
            </w:r>
          </w:p>
        </w:tc>
        <w:tc>
          <w:tcPr>
            <w:tcW w:w="694" w:type="pct"/>
          </w:tcPr>
          <w:p w14:paraId="0A331688" w14:textId="77777777" w:rsidR="002C79AB" w:rsidRPr="005D02A5" w:rsidRDefault="002C79AB" w:rsidP="00B24F11">
            <w:pPr>
              <w:pStyle w:val="BodyText"/>
              <w:spacing w:before="100" w:after="100"/>
              <w:jc w:val="center"/>
              <w:rPr>
                <w:b/>
                <w:color w:val="4EA72E" w:themeColor="accent6"/>
                <w:u w:val="single"/>
              </w:rPr>
            </w:pPr>
            <w:r w:rsidRPr="005D02A5">
              <w:rPr>
                <w:rFonts w:hAnsi="Wingdings"/>
                <w:b/>
                <w:color w:val="4EA72E" w:themeColor="accent6"/>
                <w:sz w:val="40"/>
                <w:szCs w:val="40"/>
                <w:u w:val="single"/>
              </w:rPr>
              <w:sym w:font="Wingdings" w:char="F0FC"/>
            </w:r>
            <w:r w:rsidRPr="005D02A5">
              <w:rPr>
                <w:b/>
                <w:color w:val="4EA72E" w:themeColor="accent6"/>
                <w:u w:val="single"/>
              </w:rPr>
              <w:t xml:space="preserve"> </w:t>
            </w:r>
          </w:p>
        </w:tc>
        <w:tc>
          <w:tcPr>
            <w:tcW w:w="618" w:type="pct"/>
          </w:tcPr>
          <w:p w14:paraId="64F42337" w14:textId="77777777" w:rsidR="002C79AB" w:rsidRPr="005D02A5" w:rsidRDefault="002C79AB" w:rsidP="00B24F11">
            <w:pPr>
              <w:pStyle w:val="BodyText"/>
              <w:spacing w:before="100" w:after="100"/>
              <w:jc w:val="center"/>
              <w:rPr>
                <w:b/>
                <w:color w:val="4EA72E" w:themeColor="accent6"/>
                <w:u w:val="single"/>
              </w:rPr>
            </w:pPr>
            <w:r w:rsidRPr="005D02A5">
              <w:rPr>
                <w:rFonts w:hAnsi="Wingdings"/>
                <w:b/>
                <w:color w:val="4EA72E" w:themeColor="accent6"/>
                <w:sz w:val="40"/>
                <w:szCs w:val="40"/>
                <w:u w:val="single"/>
              </w:rPr>
              <w:sym w:font="Wingdings" w:char="F0FC"/>
            </w:r>
            <w:r w:rsidRPr="005D02A5">
              <w:rPr>
                <w:b/>
                <w:color w:val="4EA72E" w:themeColor="accent6"/>
                <w:u w:val="single"/>
              </w:rPr>
              <w:t xml:space="preserve"> </w:t>
            </w:r>
          </w:p>
        </w:tc>
      </w:tr>
    </w:tbl>
    <w:p w14:paraId="3228F6EA" w14:textId="77777777" w:rsidR="00A03958" w:rsidRPr="00BD02A9" w:rsidRDefault="00A03958" w:rsidP="00A03958">
      <w:pPr>
        <w:pStyle w:val="Default"/>
        <w:rPr>
          <w:rFonts w:ascii="Arial" w:hAnsi="Arial" w:cs="Arial"/>
          <w:color w:val="auto"/>
          <w:sz w:val="22"/>
          <w:szCs w:val="22"/>
        </w:rPr>
      </w:pPr>
    </w:p>
    <w:p w14:paraId="131436A9" w14:textId="77777777" w:rsidR="005D02A5" w:rsidRDefault="005D02A5" w:rsidP="00AF2BAA">
      <w:pPr>
        <w:pStyle w:val="Default"/>
        <w:rPr>
          <w:rFonts w:ascii="Arial" w:hAnsi="Arial" w:cs="Arial"/>
          <w:b/>
          <w:bCs/>
          <w:color w:val="auto"/>
          <w:sz w:val="22"/>
          <w:szCs w:val="22"/>
        </w:rPr>
      </w:pPr>
    </w:p>
    <w:p w14:paraId="4C937CB6" w14:textId="3E24ADB3" w:rsidR="005D02A5" w:rsidRDefault="005D02A5" w:rsidP="005D02A5">
      <w:pPr>
        <w:pStyle w:val="Default"/>
        <w:rPr>
          <w:rStyle w:val="Strong"/>
          <w:rFonts w:ascii="Arial" w:hAnsi="Arial" w:cs="Arial"/>
          <w:b w:val="0"/>
          <w:bCs w:val="0"/>
          <w:color w:val="212529"/>
          <w:sz w:val="21"/>
          <w:szCs w:val="21"/>
          <w:shd w:val="clear" w:color="auto" w:fill="FFFFFF"/>
        </w:rPr>
      </w:pPr>
      <w:r>
        <w:rPr>
          <w:rFonts w:ascii="Arial" w:hAnsi="Arial" w:cs="Arial"/>
          <w:sz w:val="22"/>
          <w:szCs w:val="22"/>
        </w:rPr>
        <w:t xml:space="preserve">Paragraph 3 of PS LA 2007/4: </w:t>
      </w:r>
      <w:r>
        <w:rPr>
          <w:rStyle w:val="Strong"/>
          <w:rFonts w:ascii="Arial" w:hAnsi="Arial" w:cs="Arial"/>
          <w:color w:val="212529"/>
          <w:sz w:val="21"/>
          <w:szCs w:val="21"/>
          <w:shd w:val="clear" w:color="auto" w:fill="FFFFFF"/>
        </w:rPr>
        <w:t xml:space="preserve">Remission of penalty for failure to comply with GST registration obligations”, </w:t>
      </w:r>
      <w:r w:rsidRPr="005D02A5">
        <w:rPr>
          <w:rStyle w:val="Strong"/>
          <w:rFonts w:ascii="Arial" w:hAnsi="Arial" w:cs="Arial"/>
          <w:b w:val="0"/>
          <w:bCs w:val="0"/>
          <w:color w:val="212529"/>
          <w:sz w:val="21"/>
          <w:szCs w:val="21"/>
          <w:shd w:val="clear" w:color="auto" w:fill="FFFFFF"/>
        </w:rPr>
        <w:t xml:space="preserve">states the “general principles for ATO decision making” and </w:t>
      </w:r>
      <w:proofErr w:type="gramStart"/>
      <w:r w:rsidRPr="005D02A5">
        <w:rPr>
          <w:rStyle w:val="Strong"/>
          <w:rFonts w:ascii="Arial" w:hAnsi="Arial" w:cs="Arial"/>
          <w:b w:val="0"/>
          <w:bCs w:val="0"/>
          <w:color w:val="212529"/>
          <w:sz w:val="21"/>
          <w:szCs w:val="21"/>
          <w:shd w:val="clear" w:color="auto" w:fill="FFFFFF"/>
        </w:rPr>
        <w:t>in particular the</w:t>
      </w:r>
      <w:proofErr w:type="gramEnd"/>
      <w:r w:rsidRPr="005D02A5">
        <w:rPr>
          <w:rStyle w:val="Strong"/>
          <w:rFonts w:ascii="Arial" w:hAnsi="Arial" w:cs="Arial"/>
          <w:b w:val="0"/>
          <w:bCs w:val="0"/>
          <w:color w:val="212529"/>
          <w:sz w:val="21"/>
          <w:szCs w:val="21"/>
          <w:shd w:val="clear" w:color="auto" w:fill="FFFFFF"/>
        </w:rPr>
        <w:t xml:space="preserve"> “Good decision-making model”.</w:t>
      </w:r>
      <w:r>
        <w:rPr>
          <w:rStyle w:val="Strong"/>
          <w:rFonts w:ascii="Arial" w:hAnsi="Arial" w:cs="Arial"/>
          <w:b w:val="0"/>
          <w:bCs w:val="0"/>
          <w:color w:val="212529"/>
          <w:sz w:val="21"/>
          <w:szCs w:val="21"/>
          <w:shd w:val="clear" w:color="auto" w:fill="FFFFFF"/>
        </w:rPr>
        <w:t xml:space="preserve"> We </w:t>
      </w:r>
      <w:r w:rsidR="0007458C">
        <w:rPr>
          <w:rStyle w:val="Strong"/>
          <w:rFonts w:ascii="Arial" w:hAnsi="Arial" w:cs="Arial"/>
          <w:b w:val="0"/>
          <w:bCs w:val="0"/>
          <w:color w:val="212529"/>
          <w:sz w:val="21"/>
          <w:szCs w:val="21"/>
          <w:shd w:val="clear" w:color="auto" w:fill="FFFFFF"/>
        </w:rPr>
        <w:t>note</w:t>
      </w:r>
      <w:r>
        <w:rPr>
          <w:rStyle w:val="Strong"/>
          <w:rFonts w:ascii="Arial" w:hAnsi="Arial" w:cs="Arial"/>
          <w:b w:val="0"/>
          <w:bCs w:val="0"/>
          <w:color w:val="212529"/>
          <w:sz w:val="21"/>
          <w:szCs w:val="21"/>
          <w:shd w:val="clear" w:color="auto" w:fill="FFFFFF"/>
        </w:rPr>
        <w:t xml:space="preserve"> that the same good </w:t>
      </w:r>
      <w:r w:rsidR="008A735E">
        <w:rPr>
          <w:rStyle w:val="Strong"/>
          <w:rFonts w:ascii="Arial" w:hAnsi="Arial" w:cs="Arial"/>
          <w:b w:val="0"/>
          <w:bCs w:val="0"/>
          <w:color w:val="212529"/>
          <w:sz w:val="21"/>
          <w:szCs w:val="21"/>
          <w:shd w:val="clear" w:color="auto" w:fill="FFFFFF"/>
        </w:rPr>
        <w:t>decision-making</w:t>
      </w:r>
      <w:r>
        <w:rPr>
          <w:rStyle w:val="Strong"/>
          <w:rFonts w:ascii="Arial" w:hAnsi="Arial" w:cs="Arial"/>
          <w:b w:val="0"/>
          <w:bCs w:val="0"/>
          <w:color w:val="212529"/>
          <w:sz w:val="21"/>
          <w:szCs w:val="21"/>
          <w:shd w:val="clear" w:color="auto" w:fill="FFFFFF"/>
        </w:rPr>
        <w:t xml:space="preserve"> principles are re-iterated in paragraph 5 of </w:t>
      </w:r>
      <w:r w:rsidRPr="005D02A5">
        <w:rPr>
          <w:rStyle w:val="Strong"/>
          <w:rFonts w:ascii="Arial" w:hAnsi="Arial" w:cs="Arial"/>
          <w:color w:val="212529"/>
          <w:sz w:val="21"/>
          <w:szCs w:val="21"/>
          <w:shd w:val="clear" w:color="auto" w:fill="FFFFFF"/>
        </w:rPr>
        <w:t xml:space="preserve">PS LA 2023/1: SMSF – rectification directions for contraventions of the SIS Act 1993 </w:t>
      </w:r>
      <w:r>
        <w:rPr>
          <w:rStyle w:val="Strong"/>
          <w:rFonts w:ascii="Arial" w:hAnsi="Arial" w:cs="Arial"/>
          <w:b w:val="0"/>
          <w:bCs w:val="0"/>
          <w:color w:val="212529"/>
          <w:sz w:val="21"/>
          <w:szCs w:val="21"/>
          <w:shd w:val="clear" w:color="auto" w:fill="FFFFFF"/>
        </w:rPr>
        <w:t>and paragraph 3 of PS LA 2006/17</w:t>
      </w:r>
      <w:r w:rsidRPr="005D02A5">
        <w:rPr>
          <w:rStyle w:val="Heading1Char"/>
          <w:rFonts w:ascii="Arial" w:hAnsi="Arial" w:cs="Arial"/>
          <w:color w:val="212529"/>
          <w:sz w:val="21"/>
          <w:szCs w:val="21"/>
          <w:shd w:val="clear" w:color="auto" w:fill="FFFFFF"/>
        </w:rPr>
        <w:t xml:space="preserve"> </w:t>
      </w:r>
      <w:r>
        <w:rPr>
          <w:rStyle w:val="Strong"/>
          <w:rFonts w:ascii="Arial" w:hAnsi="Arial" w:cs="Arial"/>
          <w:color w:val="212529"/>
          <w:sz w:val="21"/>
          <w:szCs w:val="21"/>
          <w:shd w:val="clear" w:color="auto" w:fill="FFFFFF"/>
        </w:rPr>
        <w:t>Self-managed superannuation funds - disqualification of individuals to prohibit them from acting as a trustee of a self-managed superannuation fund</w:t>
      </w:r>
      <w:r w:rsidR="008F5777">
        <w:rPr>
          <w:rStyle w:val="Strong"/>
          <w:rFonts w:ascii="Arial" w:hAnsi="Arial" w:cs="Arial"/>
          <w:color w:val="212529"/>
          <w:sz w:val="21"/>
          <w:szCs w:val="21"/>
          <w:shd w:val="clear" w:color="auto" w:fill="FFFFFF"/>
        </w:rPr>
        <w:t>.</w:t>
      </w:r>
    </w:p>
    <w:p w14:paraId="18B8CBEA" w14:textId="45E12660" w:rsidR="005D02A5" w:rsidRPr="005D02A5" w:rsidRDefault="005D02A5" w:rsidP="005D02A5">
      <w:pPr>
        <w:shd w:val="clear" w:color="auto" w:fill="FFFFFF"/>
        <w:spacing w:before="330" w:after="330" w:line="360" w:lineRule="atLeast"/>
        <w:rPr>
          <w:rFonts w:ascii="Arial" w:eastAsia="Times New Roman" w:hAnsi="Arial" w:cs="Arial"/>
          <w:color w:val="666666"/>
          <w:sz w:val="21"/>
          <w:szCs w:val="21"/>
          <w:lang w:val="en-AU" w:eastAsia="en-AU"/>
        </w:rPr>
      </w:pPr>
      <w:r>
        <w:rPr>
          <w:rFonts w:ascii="Arial" w:eastAsia="Times New Roman" w:hAnsi="Arial" w:cs="Arial"/>
          <w:b/>
          <w:bCs/>
          <w:color w:val="666666"/>
          <w:sz w:val="21"/>
          <w:szCs w:val="21"/>
          <w:lang w:val="en-AU" w:eastAsia="en-AU"/>
        </w:rPr>
        <w:t>“R</w:t>
      </w:r>
      <w:r w:rsidRPr="005D02A5">
        <w:rPr>
          <w:rFonts w:ascii="Arial" w:eastAsia="Times New Roman" w:hAnsi="Arial" w:cs="Arial"/>
          <w:b/>
          <w:bCs/>
          <w:color w:val="666666"/>
          <w:sz w:val="21"/>
          <w:szCs w:val="21"/>
          <w:lang w:val="en-AU" w:eastAsia="en-AU"/>
        </w:rPr>
        <w:t>emission of the penalty - general principles</w:t>
      </w:r>
      <w:bookmarkStart w:id="0" w:name="H3"/>
      <w:bookmarkStart w:id="1" w:name="#H3"/>
      <w:bookmarkEnd w:id="0"/>
      <w:bookmarkEnd w:id="1"/>
    </w:p>
    <w:p w14:paraId="04738C2E" w14:textId="77777777" w:rsidR="005D02A5" w:rsidRPr="005D02A5" w:rsidRDefault="005D02A5" w:rsidP="005D02A5">
      <w:pPr>
        <w:shd w:val="clear" w:color="auto" w:fill="FFFFFF"/>
        <w:spacing w:before="330" w:after="330" w:line="360" w:lineRule="atLeast"/>
        <w:rPr>
          <w:rFonts w:ascii="Arial" w:eastAsia="Times New Roman" w:hAnsi="Arial" w:cs="Arial"/>
          <w:color w:val="666666"/>
          <w:sz w:val="21"/>
          <w:szCs w:val="21"/>
          <w:lang w:val="en-AU" w:eastAsia="en-AU"/>
        </w:rPr>
      </w:pPr>
      <w:r w:rsidRPr="005D02A5">
        <w:rPr>
          <w:rFonts w:ascii="Arial" w:eastAsia="Times New Roman" w:hAnsi="Arial" w:cs="Arial"/>
          <w:color w:val="666666"/>
          <w:sz w:val="21"/>
          <w:szCs w:val="21"/>
          <w:lang w:val="en-AU" w:eastAsia="en-AU"/>
        </w:rPr>
        <w:t>You need to consider remission in all cases where an entity is liable to pay the penalty. Generally (unless there is evidence of fraud or evasion), before making your remission decision, you should give the entity the opportunity to comply with its registration obligations. You should:</w:t>
      </w:r>
    </w:p>
    <w:p w14:paraId="1A05508E" w14:textId="77777777" w:rsidR="005D02A5" w:rsidRPr="008A735E" w:rsidRDefault="005D02A5" w:rsidP="008A735E">
      <w:pPr>
        <w:pStyle w:val="ListParagraph"/>
        <w:numPr>
          <w:ilvl w:val="0"/>
          <w:numId w:val="12"/>
        </w:numPr>
        <w:shd w:val="clear" w:color="auto" w:fill="FFFFFF"/>
        <w:rPr>
          <w:rFonts w:ascii="Arial" w:eastAsia="Times New Roman" w:hAnsi="Arial" w:cs="Arial"/>
          <w:color w:val="666666"/>
          <w:sz w:val="21"/>
          <w:szCs w:val="21"/>
          <w:lang w:val="en-AU" w:eastAsia="en-AU"/>
        </w:rPr>
      </w:pPr>
      <w:r w:rsidRPr="008A735E">
        <w:rPr>
          <w:rFonts w:ascii="Arial" w:eastAsia="Times New Roman" w:hAnsi="Arial" w:cs="Arial"/>
          <w:color w:val="666666"/>
          <w:sz w:val="21"/>
          <w:szCs w:val="21"/>
          <w:lang w:val="en-AU" w:eastAsia="en-AU"/>
        </w:rPr>
        <w:t>explain their registration obligations</w:t>
      </w:r>
    </w:p>
    <w:p w14:paraId="58F0048B" w14:textId="77E672D3" w:rsidR="005D02A5" w:rsidRPr="008A735E" w:rsidRDefault="005D02A5" w:rsidP="008A735E">
      <w:pPr>
        <w:pStyle w:val="ListParagraph"/>
        <w:shd w:val="clear" w:color="auto" w:fill="FFFFFF"/>
        <w:rPr>
          <w:rFonts w:ascii="Arial" w:eastAsia="Times New Roman" w:hAnsi="Arial" w:cs="Arial"/>
          <w:color w:val="666666"/>
          <w:sz w:val="21"/>
          <w:szCs w:val="21"/>
          <w:lang w:val="en-AU" w:eastAsia="en-AU"/>
        </w:rPr>
      </w:pPr>
    </w:p>
    <w:p w14:paraId="0AEB21BD" w14:textId="77777777" w:rsidR="005D02A5" w:rsidRPr="008A735E" w:rsidRDefault="005D02A5" w:rsidP="008A735E">
      <w:pPr>
        <w:pStyle w:val="ListParagraph"/>
        <w:numPr>
          <w:ilvl w:val="0"/>
          <w:numId w:val="12"/>
        </w:numPr>
        <w:shd w:val="clear" w:color="auto" w:fill="FFFFFF"/>
        <w:rPr>
          <w:rFonts w:ascii="Arial" w:eastAsia="Times New Roman" w:hAnsi="Arial" w:cs="Arial"/>
          <w:color w:val="666666"/>
          <w:sz w:val="21"/>
          <w:szCs w:val="21"/>
          <w:lang w:val="en-AU" w:eastAsia="en-AU"/>
        </w:rPr>
      </w:pPr>
      <w:r w:rsidRPr="008A735E">
        <w:rPr>
          <w:rFonts w:ascii="Arial" w:eastAsia="Times New Roman" w:hAnsi="Arial" w:cs="Arial"/>
          <w:color w:val="666666"/>
          <w:sz w:val="21"/>
          <w:szCs w:val="21"/>
          <w:lang w:val="en-AU" w:eastAsia="en-AU"/>
        </w:rPr>
        <w:t>explain how to comply with the obligations, and</w:t>
      </w:r>
    </w:p>
    <w:p w14:paraId="797A0FF2" w14:textId="6DD98C56" w:rsidR="005D02A5" w:rsidRPr="008A735E" w:rsidRDefault="005D02A5" w:rsidP="008A735E">
      <w:pPr>
        <w:pStyle w:val="ListParagraph"/>
        <w:shd w:val="clear" w:color="auto" w:fill="FFFFFF"/>
        <w:ind w:left="1440"/>
        <w:rPr>
          <w:rFonts w:ascii="Arial" w:eastAsia="Times New Roman" w:hAnsi="Arial" w:cs="Arial"/>
          <w:color w:val="666666"/>
          <w:sz w:val="21"/>
          <w:szCs w:val="21"/>
          <w:lang w:val="en-AU" w:eastAsia="en-AU"/>
        </w:rPr>
      </w:pPr>
    </w:p>
    <w:p w14:paraId="5AC2B145" w14:textId="77777777" w:rsidR="005D02A5" w:rsidRPr="008A735E" w:rsidRDefault="005D02A5" w:rsidP="008A735E">
      <w:pPr>
        <w:pStyle w:val="ListParagraph"/>
        <w:numPr>
          <w:ilvl w:val="0"/>
          <w:numId w:val="12"/>
        </w:numPr>
        <w:shd w:val="clear" w:color="auto" w:fill="FFFFFF"/>
        <w:rPr>
          <w:rFonts w:ascii="Arial" w:eastAsia="Times New Roman" w:hAnsi="Arial" w:cs="Arial"/>
          <w:color w:val="666666"/>
          <w:sz w:val="21"/>
          <w:szCs w:val="21"/>
          <w:lang w:val="en-AU" w:eastAsia="en-AU"/>
        </w:rPr>
      </w:pPr>
      <w:r w:rsidRPr="008A735E">
        <w:rPr>
          <w:rFonts w:ascii="Arial" w:eastAsia="Times New Roman" w:hAnsi="Arial" w:cs="Arial"/>
          <w:color w:val="666666"/>
          <w:sz w:val="21"/>
          <w:szCs w:val="21"/>
          <w:lang w:val="en-AU" w:eastAsia="en-AU"/>
        </w:rPr>
        <w:t>allow them a reasonable time to comply.</w:t>
      </w:r>
    </w:p>
    <w:p w14:paraId="7A1795BB" w14:textId="77777777" w:rsidR="005D02A5" w:rsidRPr="005D02A5" w:rsidRDefault="005D02A5" w:rsidP="005D02A5">
      <w:pPr>
        <w:shd w:val="clear" w:color="auto" w:fill="FFFFFF"/>
        <w:spacing w:before="330" w:after="330" w:line="360" w:lineRule="atLeast"/>
        <w:rPr>
          <w:rFonts w:ascii="Arial" w:eastAsia="Times New Roman" w:hAnsi="Arial" w:cs="Arial"/>
          <w:color w:val="666666"/>
          <w:sz w:val="21"/>
          <w:szCs w:val="21"/>
          <w:lang w:val="en-AU" w:eastAsia="en-AU"/>
        </w:rPr>
      </w:pPr>
      <w:r w:rsidRPr="005D02A5">
        <w:rPr>
          <w:rFonts w:ascii="Arial" w:eastAsia="Times New Roman" w:hAnsi="Arial" w:cs="Arial"/>
          <w:color w:val="666666"/>
          <w:sz w:val="21"/>
          <w:szCs w:val="21"/>
          <w:lang w:val="en-AU" w:eastAsia="en-AU"/>
        </w:rPr>
        <w:t xml:space="preserve">When </w:t>
      </w:r>
      <w:proofErr w:type="gramStart"/>
      <w:r w:rsidRPr="005D02A5">
        <w:rPr>
          <w:rFonts w:ascii="Arial" w:eastAsia="Times New Roman" w:hAnsi="Arial" w:cs="Arial"/>
          <w:color w:val="666666"/>
          <w:sz w:val="21"/>
          <w:szCs w:val="21"/>
          <w:lang w:val="en-AU" w:eastAsia="en-AU"/>
        </w:rPr>
        <w:t>making a decision</w:t>
      </w:r>
      <w:proofErr w:type="gramEnd"/>
      <w:r w:rsidRPr="005D02A5">
        <w:rPr>
          <w:rFonts w:ascii="Arial" w:eastAsia="Times New Roman" w:hAnsi="Arial" w:cs="Arial"/>
          <w:color w:val="666666"/>
          <w:sz w:val="21"/>
          <w:szCs w:val="21"/>
          <w:lang w:val="en-AU" w:eastAsia="en-AU"/>
        </w:rPr>
        <w:t xml:space="preserve"> about remission of the penalty, you should have regard to the objectives which underpin the penalty regime, meaning you should:</w:t>
      </w:r>
    </w:p>
    <w:p w14:paraId="75D815D3" w14:textId="2AA66FFB" w:rsidR="005D02A5" w:rsidRPr="005D02A5" w:rsidRDefault="005D02A5" w:rsidP="005D02A5">
      <w:pPr>
        <w:shd w:val="clear" w:color="auto" w:fill="FFFFFF"/>
        <w:rPr>
          <w:rFonts w:ascii="Arial" w:eastAsia="Times New Roman" w:hAnsi="Arial" w:cs="Arial"/>
          <w:color w:val="666666"/>
          <w:sz w:val="21"/>
          <w:szCs w:val="21"/>
          <w:lang w:val="en-AU" w:eastAsia="en-AU"/>
        </w:rPr>
      </w:pPr>
    </w:p>
    <w:p w14:paraId="7DCA3942" w14:textId="77777777" w:rsidR="005D02A5" w:rsidRPr="005D02A5" w:rsidRDefault="005D02A5" w:rsidP="005D02A5">
      <w:pPr>
        <w:pStyle w:val="ListParagraph"/>
        <w:numPr>
          <w:ilvl w:val="0"/>
          <w:numId w:val="11"/>
        </w:numPr>
        <w:shd w:val="clear" w:color="auto" w:fill="FFFFFF"/>
        <w:rPr>
          <w:rFonts w:ascii="Arial" w:eastAsia="Times New Roman" w:hAnsi="Arial" w:cs="Arial"/>
          <w:color w:val="666666"/>
          <w:sz w:val="21"/>
          <w:szCs w:val="21"/>
          <w:lang w:val="en-AU" w:eastAsia="en-AU"/>
        </w:rPr>
      </w:pPr>
      <w:r w:rsidRPr="005D02A5">
        <w:rPr>
          <w:rFonts w:ascii="Arial" w:eastAsia="Times New Roman" w:hAnsi="Arial" w:cs="Arial"/>
          <w:color w:val="666666"/>
          <w:sz w:val="21"/>
          <w:szCs w:val="21"/>
          <w:lang w:val="en-AU" w:eastAsia="en-AU"/>
        </w:rPr>
        <w:t>Base your decision on the individual circumstances of the case.</w:t>
      </w:r>
    </w:p>
    <w:p w14:paraId="520391AF" w14:textId="4E22B6C4" w:rsidR="005D02A5" w:rsidRPr="005D02A5" w:rsidRDefault="005D02A5" w:rsidP="005D02A5">
      <w:pPr>
        <w:pStyle w:val="ListParagraph"/>
        <w:shd w:val="clear" w:color="auto" w:fill="FFFFFF"/>
        <w:rPr>
          <w:rFonts w:ascii="Arial" w:eastAsia="Times New Roman" w:hAnsi="Arial" w:cs="Arial"/>
          <w:color w:val="666666"/>
          <w:sz w:val="21"/>
          <w:szCs w:val="21"/>
          <w:lang w:val="en-AU" w:eastAsia="en-AU"/>
        </w:rPr>
      </w:pPr>
    </w:p>
    <w:p w14:paraId="6DF8D863" w14:textId="710A8A72" w:rsidR="005D02A5" w:rsidRPr="005D02A5" w:rsidRDefault="005D02A5" w:rsidP="005D02A5">
      <w:pPr>
        <w:pStyle w:val="ListParagraph"/>
        <w:numPr>
          <w:ilvl w:val="0"/>
          <w:numId w:val="11"/>
        </w:numPr>
        <w:shd w:val="clear" w:color="auto" w:fill="FFFFFF"/>
        <w:rPr>
          <w:rFonts w:ascii="Arial" w:eastAsia="Times New Roman" w:hAnsi="Arial" w:cs="Arial"/>
          <w:color w:val="666666"/>
          <w:sz w:val="21"/>
          <w:szCs w:val="21"/>
          <w:lang w:val="en-AU" w:eastAsia="en-AU"/>
        </w:rPr>
      </w:pPr>
      <w:r w:rsidRPr="005D02A5">
        <w:rPr>
          <w:rFonts w:ascii="Arial" w:eastAsia="Times New Roman" w:hAnsi="Arial" w:cs="Arial"/>
          <w:color w:val="666666"/>
          <w:sz w:val="21"/>
          <w:szCs w:val="21"/>
          <w:lang w:val="en-AU" w:eastAsia="en-AU"/>
        </w:rPr>
        <w:t>Ensure your decision is consistent with the principles of </w:t>
      </w:r>
      <w:hyperlink r:id="rId8" w:tgtFrame="_blank" w:history="1">
        <w:r w:rsidRPr="005D02A5">
          <w:rPr>
            <w:rFonts w:ascii="Arial" w:eastAsia="Times New Roman" w:hAnsi="Arial" w:cs="Arial"/>
            <w:color w:val="4365D9"/>
            <w:sz w:val="21"/>
            <w:szCs w:val="21"/>
            <w:u w:val="single"/>
            <w:lang w:val="en-AU" w:eastAsia="en-AU"/>
          </w:rPr>
          <w:t>Our Charter</w:t>
        </w:r>
      </w:hyperlink>
      <w:r w:rsidRPr="005D02A5">
        <w:rPr>
          <w:rFonts w:ascii="Arial" w:eastAsia="Times New Roman" w:hAnsi="Arial" w:cs="Arial"/>
          <w:color w:val="666666"/>
          <w:sz w:val="21"/>
          <w:szCs w:val="21"/>
          <w:lang w:val="en-AU" w:eastAsia="en-AU"/>
        </w:rPr>
        <w:t> and the </w:t>
      </w:r>
      <w:hyperlink r:id="rId9" w:tgtFrame="_blank" w:history="1">
        <w:r w:rsidRPr="005D02A5">
          <w:rPr>
            <w:rFonts w:ascii="Arial" w:eastAsia="Times New Roman" w:hAnsi="Arial" w:cs="Arial"/>
            <w:color w:val="4365D9"/>
            <w:sz w:val="21"/>
            <w:szCs w:val="21"/>
            <w:u w:val="single"/>
            <w:lang w:val="en-AU" w:eastAsia="en-AU"/>
          </w:rPr>
          <w:t>Compliance model</w:t>
        </w:r>
      </w:hyperlink>
      <w:r w:rsidRPr="005D02A5">
        <w:rPr>
          <w:rFonts w:ascii="Arial" w:eastAsia="Times New Roman" w:hAnsi="Arial" w:cs="Arial"/>
          <w:color w:val="666666"/>
          <w:sz w:val="21"/>
          <w:szCs w:val="21"/>
          <w:lang w:val="en-AU" w:eastAsia="en-AU"/>
        </w:rPr>
        <w:t xml:space="preserve">. </w:t>
      </w:r>
    </w:p>
    <w:p w14:paraId="7E924ACB" w14:textId="24CA5B17" w:rsidR="005D02A5" w:rsidRPr="005D02A5" w:rsidRDefault="005D02A5" w:rsidP="005D02A5">
      <w:pPr>
        <w:pStyle w:val="ListParagraph"/>
        <w:shd w:val="clear" w:color="auto" w:fill="FFFFFF"/>
        <w:rPr>
          <w:rFonts w:ascii="Arial" w:eastAsia="Times New Roman" w:hAnsi="Arial" w:cs="Arial"/>
          <w:color w:val="666666"/>
          <w:sz w:val="21"/>
          <w:szCs w:val="21"/>
          <w:lang w:val="en-AU" w:eastAsia="en-AU"/>
        </w:rPr>
      </w:pPr>
    </w:p>
    <w:p w14:paraId="4D4C3F43" w14:textId="77777777" w:rsidR="005D02A5" w:rsidRPr="005D02A5" w:rsidRDefault="005D02A5" w:rsidP="005D02A5">
      <w:pPr>
        <w:pStyle w:val="ListParagraph"/>
        <w:numPr>
          <w:ilvl w:val="0"/>
          <w:numId w:val="11"/>
        </w:numPr>
        <w:shd w:val="clear" w:color="auto" w:fill="FFFFFF"/>
        <w:rPr>
          <w:rFonts w:ascii="Arial" w:eastAsia="Times New Roman" w:hAnsi="Arial" w:cs="Arial"/>
          <w:color w:val="666666"/>
          <w:sz w:val="21"/>
          <w:szCs w:val="21"/>
          <w:lang w:val="en-AU" w:eastAsia="en-AU"/>
        </w:rPr>
      </w:pPr>
      <w:r w:rsidRPr="005D02A5">
        <w:rPr>
          <w:rFonts w:ascii="Arial" w:eastAsia="Times New Roman" w:hAnsi="Arial" w:cs="Arial"/>
          <w:color w:val="666666"/>
          <w:sz w:val="21"/>
          <w:szCs w:val="21"/>
          <w:lang w:val="en-AU" w:eastAsia="en-AU"/>
        </w:rPr>
        <w:t>Promote consistent treatment in respect of the penalty - the penalty should not be remitted without just cause, arbitrarily or as a matter of course.</w:t>
      </w:r>
    </w:p>
    <w:p w14:paraId="0123CE60" w14:textId="02154BB0" w:rsidR="005D02A5" w:rsidRPr="008A735E" w:rsidRDefault="005D02A5" w:rsidP="005D02A5">
      <w:pPr>
        <w:pStyle w:val="ListParagraph"/>
        <w:shd w:val="clear" w:color="auto" w:fill="FFFFFF"/>
        <w:ind w:left="1440"/>
        <w:rPr>
          <w:rFonts w:ascii="Arial" w:eastAsia="Times New Roman" w:hAnsi="Arial" w:cs="Arial"/>
          <w:b/>
          <w:bCs/>
          <w:color w:val="666666"/>
          <w:sz w:val="21"/>
          <w:szCs w:val="21"/>
          <w:lang w:val="en-AU" w:eastAsia="en-AU"/>
        </w:rPr>
      </w:pPr>
    </w:p>
    <w:p w14:paraId="55B0F4F7" w14:textId="448557D5" w:rsidR="005D02A5" w:rsidRPr="008A735E" w:rsidRDefault="005D02A5" w:rsidP="005D02A5">
      <w:pPr>
        <w:pStyle w:val="ListParagraph"/>
        <w:numPr>
          <w:ilvl w:val="0"/>
          <w:numId w:val="11"/>
        </w:numPr>
        <w:shd w:val="clear" w:color="auto" w:fill="FFFFFF"/>
        <w:rPr>
          <w:rFonts w:ascii="Arial" w:eastAsia="Times New Roman" w:hAnsi="Arial" w:cs="Arial"/>
          <w:b/>
          <w:bCs/>
          <w:color w:val="666666"/>
          <w:sz w:val="21"/>
          <w:szCs w:val="21"/>
          <w:lang w:val="en-AU" w:eastAsia="en-AU"/>
        </w:rPr>
      </w:pPr>
      <w:r w:rsidRPr="008A735E">
        <w:rPr>
          <w:rFonts w:ascii="Arial" w:eastAsia="Times New Roman" w:hAnsi="Arial" w:cs="Arial"/>
          <w:b/>
          <w:bCs/>
          <w:color w:val="666666"/>
          <w:sz w:val="21"/>
          <w:szCs w:val="21"/>
          <w:lang w:val="en-AU" w:eastAsia="en-AU"/>
        </w:rPr>
        <w:t>Be reasonable and make your decision in good faith - you should follow the </w:t>
      </w:r>
      <w:hyperlink r:id="rId10" w:tgtFrame="_blank" w:history="1">
        <w:r w:rsidRPr="008A735E">
          <w:rPr>
            <w:rFonts w:ascii="Arial" w:eastAsia="Times New Roman" w:hAnsi="Arial" w:cs="Arial"/>
            <w:b/>
            <w:bCs/>
            <w:color w:val="4365D9"/>
            <w:sz w:val="21"/>
            <w:szCs w:val="21"/>
            <w:u w:val="single"/>
            <w:lang w:val="en-AU" w:eastAsia="en-AU"/>
          </w:rPr>
          <w:t>Good decision-making model</w:t>
        </w:r>
      </w:hyperlink>
      <w:r w:rsidRPr="008A735E">
        <w:rPr>
          <w:rFonts w:ascii="Arial" w:eastAsia="Times New Roman" w:hAnsi="Arial" w:cs="Arial"/>
          <w:b/>
          <w:bCs/>
          <w:color w:val="666666"/>
          <w:sz w:val="21"/>
          <w:szCs w:val="21"/>
          <w:lang w:val="en-AU" w:eastAsia="en-AU"/>
        </w:rPr>
        <w:t> </w:t>
      </w:r>
    </w:p>
    <w:p w14:paraId="00B29B80" w14:textId="0605599C" w:rsidR="005D02A5" w:rsidRPr="005D02A5" w:rsidRDefault="005D02A5" w:rsidP="005D02A5">
      <w:pPr>
        <w:pStyle w:val="ListParagraph"/>
        <w:shd w:val="clear" w:color="auto" w:fill="FFFFFF"/>
        <w:ind w:left="2160"/>
        <w:rPr>
          <w:rFonts w:ascii="Arial" w:eastAsia="Times New Roman" w:hAnsi="Arial" w:cs="Arial"/>
          <w:color w:val="666666"/>
          <w:sz w:val="21"/>
          <w:szCs w:val="21"/>
          <w:lang w:val="en-AU" w:eastAsia="en-AU"/>
        </w:rPr>
      </w:pPr>
    </w:p>
    <w:p w14:paraId="5F042E6D" w14:textId="77777777" w:rsidR="005D02A5" w:rsidRPr="005D02A5" w:rsidRDefault="005D02A5" w:rsidP="005D02A5">
      <w:pPr>
        <w:pStyle w:val="ListParagraph"/>
        <w:numPr>
          <w:ilvl w:val="0"/>
          <w:numId w:val="11"/>
        </w:numPr>
        <w:shd w:val="clear" w:color="auto" w:fill="FFFFFF"/>
        <w:rPr>
          <w:rFonts w:ascii="Arial" w:eastAsia="Times New Roman" w:hAnsi="Arial" w:cs="Arial"/>
          <w:color w:val="666666"/>
          <w:sz w:val="21"/>
          <w:szCs w:val="21"/>
          <w:lang w:val="en-AU" w:eastAsia="en-AU"/>
        </w:rPr>
      </w:pPr>
      <w:proofErr w:type="gramStart"/>
      <w:r w:rsidRPr="005D02A5">
        <w:rPr>
          <w:rFonts w:ascii="Arial" w:eastAsia="Times New Roman" w:hAnsi="Arial" w:cs="Arial"/>
          <w:color w:val="666666"/>
          <w:sz w:val="21"/>
          <w:szCs w:val="21"/>
          <w:lang w:val="en-AU" w:eastAsia="en-AU"/>
        </w:rPr>
        <w:t>Take into account</w:t>
      </w:r>
      <w:proofErr w:type="gramEnd"/>
      <w:r w:rsidRPr="005D02A5">
        <w:rPr>
          <w:rFonts w:ascii="Arial" w:eastAsia="Times New Roman" w:hAnsi="Arial" w:cs="Arial"/>
          <w:color w:val="666666"/>
          <w:sz w:val="21"/>
          <w:szCs w:val="21"/>
          <w:lang w:val="en-AU" w:eastAsia="en-AU"/>
        </w:rPr>
        <w:t xml:space="preserve"> all relevant facts and circumstances.</w:t>
      </w:r>
    </w:p>
    <w:p w14:paraId="3E75FCE4" w14:textId="164B71C5" w:rsidR="005D02A5" w:rsidRPr="005D02A5" w:rsidRDefault="005D02A5" w:rsidP="005D02A5">
      <w:pPr>
        <w:shd w:val="clear" w:color="auto" w:fill="FFFFFF"/>
        <w:rPr>
          <w:rFonts w:ascii="Arial" w:eastAsia="Times New Roman" w:hAnsi="Arial" w:cs="Arial"/>
          <w:color w:val="666666"/>
          <w:sz w:val="21"/>
          <w:szCs w:val="21"/>
          <w:lang w:val="en-AU" w:eastAsia="en-AU"/>
        </w:rPr>
      </w:pPr>
    </w:p>
    <w:p w14:paraId="4F738E58" w14:textId="77777777" w:rsidR="005D02A5" w:rsidRPr="005D02A5" w:rsidRDefault="005D02A5" w:rsidP="005D02A5">
      <w:pPr>
        <w:pStyle w:val="ListParagraph"/>
        <w:numPr>
          <w:ilvl w:val="0"/>
          <w:numId w:val="11"/>
        </w:numPr>
        <w:shd w:val="clear" w:color="auto" w:fill="FFFFFF"/>
        <w:rPr>
          <w:rFonts w:ascii="Arial" w:eastAsia="Times New Roman" w:hAnsi="Arial" w:cs="Arial"/>
          <w:color w:val="666666"/>
          <w:sz w:val="21"/>
          <w:szCs w:val="21"/>
          <w:lang w:val="en-AU" w:eastAsia="en-AU"/>
        </w:rPr>
      </w:pPr>
      <w:r w:rsidRPr="005D02A5">
        <w:rPr>
          <w:rFonts w:ascii="Arial" w:eastAsia="Times New Roman" w:hAnsi="Arial" w:cs="Arial"/>
          <w:color w:val="666666"/>
          <w:sz w:val="21"/>
          <w:szCs w:val="21"/>
          <w:lang w:val="en-AU" w:eastAsia="en-AU"/>
        </w:rPr>
        <w:t>Aim to improve future compliance by the taxpayer.</w:t>
      </w:r>
    </w:p>
    <w:p w14:paraId="1F28A5CE" w14:textId="77777777" w:rsidR="005D02A5" w:rsidRPr="005D02A5" w:rsidRDefault="005D02A5" w:rsidP="005D02A5">
      <w:pPr>
        <w:shd w:val="clear" w:color="auto" w:fill="FFFFFF"/>
        <w:spacing w:before="330" w:after="330" w:line="360" w:lineRule="atLeast"/>
        <w:rPr>
          <w:rFonts w:ascii="Arial" w:eastAsia="Times New Roman" w:hAnsi="Arial" w:cs="Arial"/>
          <w:color w:val="666666"/>
          <w:sz w:val="21"/>
          <w:szCs w:val="21"/>
          <w:lang w:val="en-AU" w:eastAsia="en-AU"/>
        </w:rPr>
      </w:pPr>
      <w:r w:rsidRPr="005D02A5">
        <w:rPr>
          <w:rFonts w:ascii="Arial" w:eastAsia="Times New Roman" w:hAnsi="Arial" w:cs="Arial"/>
          <w:color w:val="666666"/>
          <w:sz w:val="21"/>
          <w:szCs w:val="21"/>
          <w:lang w:val="en-AU" w:eastAsia="en-AU"/>
        </w:rPr>
        <w:t>At all times, over and above these factors, your decision should ensure that there are no unintended or unjust results.</w:t>
      </w:r>
    </w:p>
    <w:p w14:paraId="21A998C6" w14:textId="2053120C" w:rsidR="005D02A5" w:rsidRDefault="008A735E" w:rsidP="005D02A5">
      <w:pPr>
        <w:pStyle w:val="Default"/>
        <w:rPr>
          <w:rStyle w:val="Strong"/>
          <w:rFonts w:ascii="Arial" w:hAnsi="Arial" w:cs="Arial"/>
          <w:b w:val="0"/>
          <w:bCs w:val="0"/>
          <w:color w:val="212529"/>
          <w:sz w:val="21"/>
          <w:szCs w:val="21"/>
          <w:shd w:val="clear" w:color="auto" w:fill="FFFFFF"/>
        </w:rPr>
      </w:pPr>
      <w:r>
        <w:rPr>
          <w:rStyle w:val="Strong"/>
          <w:rFonts w:ascii="Arial" w:hAnsi="Arial" w:cs="Arial"/>
          <w:b w:val="0"/>
          <w:bCs w:val="0"/>
          <w:color w:val="212529"/>
          <w:sz w:val="21"/>
          <w:szCs w:val="21"/>
          <w:shd w:val="clear" w:color="auto" w:fill="FFFFFF"/>
        </w:rPr>
        <w:t xml:space="preserve">Specifically, the </w:t>
      </w:r>
      <w:hyperlink r:id="rId11" w:tgtFrame="_blank" w:history="1">
        <w:r w:rsidRPr="008A735E">
          <w:rPr>
            <w:rFonts w:ascii="Arial" w:eastAsia="Times New Roman" w:hAnsi="Arial" w:cs="Arial"/>
            <w:b/>
            <w:bCs/>
            <w:color w:val="4365D9"/>
            <w:sz w:val="21"/>
            <w:szCs w:val="21"/>
            <w:u w:val="single"/>
            <w:lang w:eastAsia="en-AU"/>
          </w:rPr>
          <w:t>Good decision-making model</w:t>
        </w:r>
      </w:hyperlink>
      <w:r w:rsidRPr="008A735E">
        <w:rPr>
          <w:rFonts w:ascii="Arial" w:eastAsia="Times New Roman" w:hAnsi="Arial" w:cs="Arial"/>
          <w:b/>
          <w:bCs/>
          <w:color w:val="666666"/>
          <w:sz w:val="21"/>
          <w:szCs w:val="21"/>
          <w:lang w:eastAsia="en-AU"/>
        </w:rPr>
        <w:t> </w:t>
      </w:r>
      <w:r>
        <w:rPr>
          <w:rFonts w:ascii="Arial" w:eastAsia="Times New Roman" w:hAnsi="Arial" w:cs="Arial"/>
          <w:b/>
          <w:bCs/>
          <w:color w:val="666666"/>
          <w:sz w:val="21"/>
          <w:szCs w:val="21"/>
          <w:lang w:eastAsia="en-AU"/>
        </w:rPr>
        <w:t xml:space="preserve">– </w:t>
      </w:r>
      <w:r w:rsidRPr="00E23006">
        <w:rPr>
          <w:rFonts w:ascii="Arial" w:eastAsia="Times New Roman" w:hAnsi="Arial" w:cs="Arial"/>
          <w:color w:val="666666"/>
          <w:sz w:val="21"/>
          <w:szCs w:val="21"/>
          <w:lang w:eastAsia="en-AU"/>
        </w:rPr>
        <w:t>which requires that the decision be legal, ethical, equitable overt, sensible, timely and</w:t>
      </w:r>
      <w:r w:rsidRPr="00E23006">
        <w:rPr>
          <w:rFonts w:ascii="Arial" w:eastAsia="Times New Roman" w:hAnsi="Arial" w:cs="Arial"/>
          <w:b/>
          <w:bCs/>
          <w:color w:val="666666"/>
          <w:sz w:val="21"/>
          <w:szCs w:val="21"/>
          <w:lang w:eastAsia="en-AU"/>
        </w:rPr>
        <w:t xml:space="preserve"> consistent</w:t>
      </w:r>
      <w:r w:rsidRPr="00E23006">
        <w:rPr>
          <w:rFonts w:ascii="Arial" w:eastAsia="Times New Roman" w:hAnsi="Arial" w:cs="Arial"/>
          <w:color w:val="666666"/>
          <w:sz w:val="21"/>
          <w:szCs w:val="21"/>
          <w:lang w:eastAsia="en-AU"/>
        </w:rPr>
        <w:t xml:space="preserve"> with the principles</w:t>
      </w:r>
      <w:r w:rsidRPr="00E23006">
        <w:rPr>
          <w:rStyle w:val="Strong"/>
          <w:rFonts w:ascii="Arial" w:hAnsi="Arial" w:cs="Arial"/>
          <w:color w:val="212529"/>
          <w:sz w:val="21"/>
          <w:szCs w:val="21"/>
          <w:shd w:val="clear" w:color="auto" w:fill="FFFFFF"/>
        </w:rPr>
        <w:t xml:space="preserve"> </w:t>
      </w:r>
      <w:r w:rsidRPr="00E23006">
        <w:rPr>
          <w:rStyle w:val="Strong"/>
          <w:rFonts w:ascii="Arial" w:hAnsi="Arial" w:cs="Arial"/>
          <w:b w:val="0"/>
          <w:bCs w:val="0"/>
          <w:color w:val="212529"/>
          <w:sz w:val="21"/>
          <w:szCs w:val="21"/>
          <w:shd w:val="clear" w:color="auto" w:fill="FFFFFF"/>
        </w:rPr>
        <w:t>of natural justice</w:t>
      </w:r>
      <w:r w:rsidRPr="00E23006">
        <w:rPr>
          <w:rStyle w:val="Strong"/>
          <w:rFonts w:ascii="Arial" w:hAnsi="Arial" w:cs="Arial"/>
          <w:color w:val="212529"/>
          <w:sz w:val="21"/>
          <w:szCs w:val="21"/>
          <w:shd w:val="clear" w:color="auto" w:fill="FFFFFF"/>
        </w:rPr>
        <w:t>.</w:t>
      </w:r>
    </w:p>
    <w:p w14:paraId="3CF02455" w14:textId="77777777" w:rsidR="008A735E" w:rsidRDefault="008A735E" w:rsidP="005D02A5">
      <w:pPr>
        <w:pStyle w:val="Default"/>
        <w:rPr>
          <w:rStyle w:val="Strong"/>
          <w:rFonts w:ascii="Arial" w:hAnsi="Arial" w:cs="Arial"/>
          <w:b w:val="0"/>
          <w:bCs w:val="0"/>
          <w:color w:val="212529"/>
          <w:sz w:val="21"/>
          <w:szCs w:val="21"/>
          <w:shd w:val="clear" w:color="auto" w:fill="FFFFFF"/>
        </w:rPr>
      </w:pPr>
    </w:p>
    <w:p w14:paraId="3EF2055A" w14:textId="1C0B34E0" w:rsidR="008A735E" w:rsidRPr="008A735E" w:rsidRDefault="008A735E" w:rsidP="005D02A5">
      <w:pPr>
        <w:pStyle w:val="Default"/>
        <w:rPr>
          <w:rFonts w:ascii="Arial" w:hAnsi="Arial" w:cs="Arial"/>
          <w:color w:val="212529"/>
          <w:sz w:val="21"/>
          <w:szCs w:val="21"/>
          <w:shd w:val="clear" w:color="auto" w:fill="FFFFFF"/>
        </w:rPr>
      </w:pPr>
      <w:r>
        <w:rPr>
          <w:rStyle w:val="Strong"/>
          <w:rFonts w:ascii="Arial" w:hAnsi="Arial" w:cs="Arial"/>
          <w:b w:val="0"/>
          <w:bCs w:val="0"/>
          <w:color w:val="212529"/>
          <w:sz w:val="21"/>
          <w:szCs w:val="21"/>
          <w:shd w:val="clear" w:color="auto" w:fill="FFFFFF"/>
        </w:rPr>
        <w:t xml:space="preserve">We note that the </w:t>
      </w:r>
      <w:r w:rsidR="001D7C5B">
        <w:rPr>
          <w:rStyle w:val="Strong"/>
          <w:rFonts w:ascii="Arial" w:hAnsi="Arial" w:cs="Arial"/>
          <w:b w:val="0"/>
          <w:bCs w:val="0"/>
          <w:color w:val="212529"/>
          <w:sz w:val="21"/>
          <w:szCs w:val="21"/>
          <w:shd w:val="clear" w:color="auto" w:fill="FFFFFF"/>
        </w:rPr>
        <w:t>Commissioner</w:t>
      </w:r>
      <w:r>
        <w:rPr>
          <w:rStyle w:val="Strong"/>
          <w:rFonts w:ascii="Arial" w:hAnsi="Arial" w:cs="Arial"/>
          <w:b w:val="0"/>
          <w:bCs w:val="0"/>
          <w:color w:val="212529"/>
          <w:sz w:val="21"/>
          <w:szCs w:val="21"/>
          <w:shd w:val="clear" w:color="auto" w:fill="FFFFFF"/>
        </w:rPr>
        <w:t xml:space="preserve"> of Taxation </w:t>
      </w:r>
      <w:r w:rsidR="001D7C5B">
        <w:rPr>
          <w:rStyle w:val="Strong"/>
          <w:rFonts w:ascii="Arial" w:hAnsi="Arial" w:cs="Arial"/>
          <w:b w:val="0"/>
          <w:bCs w:val="0"/>
          <w:color w:val="212529"/>
          <w:sz w:val="21"/>
          <w:szCs w:val="21"/>
          <w:shd w:val="clear" w:color="auto" w:fill="FFFFFF"/>
        </w:rPr>
        <w:t xml:space="preserve">remitted in full on 13 December </w:t>
      </w:r>
      <w:r w:rsidR="00320100">
        <w:rPr>
          <w:rStyle w:val="Strong"/>
          <w:rFonts w:ascii="Arial" w:hAnsi="Arial" w:cs="Arial"/>
          <w:b w:val="0"/>
          <w:bCs w:val="0"/>
          <w:color w:val="212529"/>
          <w:sz w:val="21"/>
          <w:szCs w:val="21"/>
          <w:shd w:val="clear" w:color="auto" w:fill="FFFFFF"/>
        </w:rPr>
        <w:t xml:space="preserve">GIC Remission requests for two other </w:t>
      </w:r>
      <w:r w:rsidR="005D2F95">
        <w:rPr>
          <w:rStyle w:val="Strong"/>
          <w:rFonts w:ascii="Arial" w:hAnsi="Arial" w:cs="Arial"/>
          <w:b w:val="0"/>
          <w:bCs w:val="0"/>
          <w:color w:val="212529"/>
          <w:sz w:val="21"/>
          <w:szCs w:val="21"/>
          <w:shd w:val="clear" w:color="auto" w:fill="FFFFFF"/>
        </w:rPr>
        <w:t xml:space="preserve">similar </w:t>
      </w:r>
      <w:r w:rsidR="005D5044">
        <w:rPr>
          <w:rStyle w:val="Strong"/>
          <w:rFonts w:ascii="Arial" w:hAnsi="Arial" w:cs="Arial"/>
          <w:b w:val="0"/>
          <w:bCs w:val="0"/>
          <w:color w:val="212529"/>
          <w:sz w:val="21"/>
          <w:szCs w:val="21"/>
          <w:shd w:val="clear" w:color="auto" w:fill="FFFFFF"/>
        </w:rPr>
        <w:t xml:space="preserve">successful </w:t>
      </w:r>
      <w:r w:rsidR="005D2F95">
        <w:rPr>
          <w:rStyle w:val="Strong"/>
          <w:rFonts w:ascii="Arial" w:hAnsi="Arial" w:cs="Arial"/>
          <w:b w:val="0"/>
          <w:bCs w:val="0"/>
          <w:color w:val="212529"/>
          <w:sz w:val="21"/>
          <w:szCs w:val="21"/>
          <w:shd w:val="clear" w:color="auto" w:fill="FFFFFF"/>
        </w:rPr>
        <w:t>GIC remission</w:t>
      </w:r>
      <w:r w:rsidR="005D5044">
        <w:rPr>
          <w:rStyle w:val="Strong"/>
          <w:rFonts w:ascii="Arial" w:hAnsi="Arial" w:cs="Arial"/>
          <w:b w:val="0"/>
          <w:bCs w:val="0"/>
          <w:color w:val="212529"/>
          <w:sz w:val="21"/>
          <w:szCs w:val="21"/>
          <w:shd w:val="clear" w:color="auto" w:fill="FFFFFF"/>
        </w:rPr>
        <w:t xml:space="preserve"> applications approved by the ATO recently for the following e</w:t>
      </w:r>
      <w:r w:rsidR="00320100">
        <w:rPr>
          <w:rStyle w:val="Strong"/>
          <w:rFonts w:ascii="Arial" w:hAnsi="Arial" w:cs="Arial"/>
          <w:b w:val="0"/>
          <w:bCs w:val="0"/>
          <w:color w:val="212529"/>
          <w:sz w:val="21"/>
          <w:szCs w:val="21"/>
          <w:shd w:val="clear" w:color="auto" w:fill="FFFFFF"/>
        </w:rPr>
        <w:t>ntities:</w:t>
      </w:r>
    </w:p>
    <w:p w14:paraId="7953D288" w14:textId="15AE9F11" w:rsidR="00E23006" w:rsidRDefault="00E23006" w:rsidP="00320100">
      <w:pPr>
        <w:pStyle w:val="ListParagraph"/>
        <w:contextualSpacing w:val="0"/>
        <w:rPr>
          <w:rFonts w:eastAsia="Times New Roman" w:cs="Calibri"/>
          <w:sz w:val="22"/>
          <w:szCs w:val="22"/>
        </w:rPr>
      </w:pPr>
    </w:p>
    <w:p w14:paraId="1FC09D73" w14:textId="1DDD8883" w:rsidR="00E23006" w:rsidRDefault="005D5044" w:rsidP="00E23006">
      <w:pPr>
        <w:pStyle w:val="ListParagraph"/>
        <w:numPr>
          <w:ilvl w:val="0"/>
          <w:numId w:val="13"/>
        </w:numPr>
        <w:contextualSpacing w:val="0"/>
        <w:rPr>
          <w:rFonts w:eastAsia="Times New Roman" w:cs="Calibri"/>
          <w:sz w:val="22"/>
          <w:szCs w:val="22"/>
        </w:rPr>
      </w:pPr>
      <w:r>
        <w:rPr>
          <w:rFonts w:eastAsia="Times New Roman" w:cs="Calibri"/>
          <w:sz w:val="22"/>
          <w:szCs w:val="22"/>
        </w:rPr>
        <w:t>A</w:t>
      </w:r>
      <w:r w:rsidR="00E23006">
        <w:rPr>
          <w:rFonts w:eastAsia="Times New Roman" w:cs="Calibri"/>
          <w:sz w:val="22"/>
          <w:szCs w:val="22"/>
        </w:rPr>
        <w:t xml:space="preserve"> Pty Ltd – successful </w:t>
      </w:r>
      <w:r w:rsidR="00E16E06">
        <w:rPr>
          <w:rFonts w:eastAsia="Times New Roman" w:cs="Calibri"/>
          <w:sz w:val="22"/>
          <w:szCs w:val="22"/>
        </w:rPr>
        <w:t xml:space="preserve">- full GIC </w:t>
      </w:r>
      <w:r w:rsidR="00E23006">
        <w:rPr>
          <w:rFonts w:eastAsia="Times New Roman" w:cs="Calibri"/>
          <w:sz w:val="22"/>
          <w:szCs w:val="22"/>
        </w:rPr>
        <w:t>remission</w:t>
      </w:r>
      <w:r w:rsidR="00E16E06">
        <w:rPr>
          <w:rFonts w:eastAsia="Times New Roman" w:cs="Calibri"/>
          <w:sz w:val="22"/>
          <w:szCs w:val="22"/>
        </w:rPr>
        <w:t xml:space="preserve"> </w:t>
      </w:r>
      <w:r w:rsidR="008C2FB2">
        <w:rPr>
          <w:rFonts w:eastAsia="Times New Roman" w:cs="Calibri"/>
          <w:sz w:val="22"/>
          <w:szCs w:val="22"/>
        </w:rPr>
        <w:t xml:space="preserve">– </w:t>
      </w:r>
      <w:proofErr w:type="spellStart"/>
      <w:r w:rsidR="008C2FB2">
        <w:rPr>
          <w:rFonts w:eastAsia="Times New Roman" w:cs="Calibri"/>
          <w:sz w:val="22"/>
          <w:szCs w:val="22"/>
        </w:rPr>
        <w:t>Rec.No</w:t>
      </w:r>
      <w:proofErr w:type="spellEnd"/>
      <w:r w:rsidR="008C2FB2">
        <w:rPr>
          <w:rFonts w:eastAsia="Times New Roman" w:cs="Calibri"/>
          <w:sz w:val="22"/>
          <w:szCs w:val="22"/>
        </w:rPr>
        <w:t>. 10 523 432 81 454</w:t>
      </w:r>
    </w:p>
    <w:p w14:paraId="3B6509F0" w14:textId="10A24344" w:rsidR="00E23006" w:rsidRDefault="005D5044" w:rsidP="00E23006">
      <w:pPr>
        <w:pStyle w:val="ListParagraph"/>
        <w:numPr>
          <w:ilvl w:val="0"/>
          <w:numId w:val="13"/>
        </w:numPr>
        <w:contextualSpacing w:val="0"/>
        <w:rPr>
          <w:rFonts w:eastAsia="Times New Roman" w:cs="Calibri"/>
          <w:sz w:val="22"/>
          <w:szCs w:val="22"/>
        </w:rPr>
      </w:pPr>
      <w:r>
        <w:rPr>
          <w:rFonts w:eastAsia="Times New Roman" w:cs="Calibri"/>
          <w:sz w:val="22"/>
          <w:szCs w:val="22"/>
        </w:rPr>
        <w:t>B</w:t>
      </w:r>
      <w:r w:rsidR="00E23006">
        <w:rPr>
          <w:rFonts w:eastAsia="Times New Roman" w:cs="Calibri"/>
          <w:sz w:val="22"/>
          <w:szCs w:val="22"/>
        </w:rPr>
        <w:t xml:space="preserve"> Group Operations – successful </w:t>
      </w:r>
      <w:r w:rsidR="00E16E06">
        <w:rPr>
          <w:rFonts w:eastAsia="Times New Roman" w:cs="Calibri"/>
          <w:sz w:val="22"/>
          <w:szCs w:val="22"/>
        </w:rPr>
        <w:t xml:space="preserve">– full GIC </w:t>
      </w:r>
      <w:r w:rsidR="00E23006">
        <w:rPr>
          <w:rFonts w:eastAsia="Times New Roman" w:cs="Calibri"/>
          <w:sz w:val="22"/>
          <w:szCs w:val="22"/>
        </w:rPr>
        <w:t>remission</w:t>
      </w:r>
      <w:r w:rsidR="00E16E06" w:rsidRPr="00E16E06">
        <w:rPr>
          <w:rFonts w:eastAsia="Times New Roman" w:cs="Calibri"/>
          <w:sz w:val="22"/>
          <w:szCs w:val="22"/>
        </w:rPr>
        <w:t xml:space="preserve"> </w:t>
      </w:r>
      <w:r w:rsidR="008C2FB2">
        <w:rPr>
          <w:rFonts w:eastAsia="Times New Roman" w:cs="Calibri"/>
          <w:sz w:val="22"/>
          <w:szCs w:val="22"/>
        </w:rPr>
        <w:t>–</w:t>
      </w:r>
      <w:r w:rsidR="00E16E06">
        <w:rPr>
          <w:rFonts w:eastAsia="Times New Roman" w:cs="Calibri"/>
          <w:sz w:val="22"/>
          <w:szCs w:val="22"/>
        </w:rPr>
        <w:t xml:space="preserve"> Re</w:t>
      </w:r>
      <w:r w:rsidR="008C2FB2">
        <w:rPr>
          <w:rFonts w:eastAsia="Times New Roman" w:cs="Calibri"/>
          <w:sz w:val="22"/>
          <w:szCs w:val="22"/>
        </w:rPr>
        <w:t>c.</w:t>
      </w:r>
      <w:r w:rsidR="00E16E06">
        <w:rPr>
          <w:rFonts w:eastAsia="Times New Roman" w:cs="Calibri"/>
          <w:sz w:val="22"/>
          <w:szCs w:val="22"/>
        </w:rPr>
        <w:t xml:space="preserve"> No. 10 523 434 86</w:t>
      </w:r>
      <w:r w:rsidR="008C2FB2">
        <w:rPr>
          <w:rFonts w:eastAsia="Times New Roman" w:cs="Calibri"/>
          <w:sz w:val="22"/>
          <w:szCs w:val="22"/>
        </w:rPr>
        <w:t xml:space="preserve"> </w:t>
      </w:r>
      <w:r w:rsidR="00E16E06">
        <w:rPr>
          <w:rFonts w:eastAsia="Times New Roman" w:cs="Calibri"/>
          <w:sz w:val="22"/>
          <w:szCs w:val="22"/>
        </w:rPr>
        <w:t>588</w:t>
      </w:r>
    </w:p>
    <w:p w14:paraId="73978918" w14:textId="77777777" w:rsidR="005D02A5" w:rsidRDefault="005D02A5" w:rsidP="00AF2BAA">
      <w:pPr>
        <w:pStyle w:val="Default"/>
        <w:rPr>
          <w:rFonts w:ascii="Arial" w:hAnsi="Arial" w:cs="Arial"/>
          <w:b/>
          <w:bCs/>
          <w:color w:val="auto"/>
          <w:sz w:val="22"/>
          <w:szCs w:val="22"/>
        </w:rPr>
      </w:pPr>
    </w:p>
    <w:p w14:paraId="40E10D4E" w14:textId="77CDA355" w:rsidR="005D02A5" w:rsidRDefault="00320100" w:rsidP="00AF2BAA">
      <w:pPr>
        <w:pStyle w:val="Default"/>
        <w:rPr>
          <w:sz w:val="22"/>
          <w:szCs w:val="22"/>
        </w:rPr>
      </w:pPr>
      <w:r>
        <w:rPr>
          <w:sz w:val="22"/>
          <w:szCs w:val="22"/>
        </w:rPr>
        <w:t>There were no formal letters issued for the two successful GIC remission application. Just a response on ATO portal inbox.</w:t>
      </w:r>
    </w:p>
    <w:p w14:paraId="1B36342A" w14:textId="77777777" w:rsidR="002B38A7" w:rsidRDefault="002B38A7" w:rsidP="00AF2BAA">
      <w:pPr>
        <w:pStyle w:val="Default"/>
        <w:rPr>
          <w:sz w:val="22"/>
          <w:szCs w:val="22"/>
        </w:rPr>
      </w:pPr>
    </w:p>
    <w:p w14:paraId="6FDBA1CB" w14:textId="0BA3E675" w:rsidR="002B38A7" w:rsidRDefault="002B38A7" w:rsidP="00AF2BAA">
      <w:pPr>
        <w:pStyle w:val="Default"/>
        <w:rPr>
          <w:rFonts w:ascii="Arial" w:hAnsi="Arial" w:cs="Arial"/>
          <w:b/>
          <w:bCs/>
          <w:color w:val="auto"/>
          <w:sz w:val="22"/>
          <w:szCs w:val="22"/>
        </w:rPr>
      </w:pPr>
      <w:r>
        <w:rPr>
          <w:sz w:val="22"/>
          <w:szCs w:val="22"/>
        </w:rPr>
        <w:t xml:space="preserve">The </w:t>
      </w:r>
      <w:r w:rsidR="00C57078">
        <w:rPr>
          <w:sz w:val="22"/>
          <w:szCs w:val="22"/>
        </w:rPr>
        <w:t xml:space="preserve">unsuccessful </w:t>
      </w:r>
      <w:r w:rsidR="00DE5AD5">
        <w:rPr>
          <w:sz w:val="22"/>
          <w:szCs w:val="22"/>
        </w:rPr>
        <w:t xml:space="preserve">GIC Remission submission </w:t>
      </w:r>
      <w:r w:rsidR="00C57078">
        <w:rPr>
          <w:sz w:val="22"/>
          <w:szCs w:val="22"/>
        </w:rPr>
        <w:t xml:space="preserve">for </w:t>
      </w:r>
      <w:r w:rsidR="00316907">
        <w:rPr>
          <w:sz w:val="22"/>
          <w:szCs w:val="22"/>
        </w:rPr>
        <w:t>above named entity XXX</w:t>
      </w:r>
      <w:r w:rsidR="00DE5AD5" w:rsidRPr="00BD02A9">
        <w:rPr>
          <w:rFonts w:ascii="Arial" w:hAnsi="Arial" w:cs="Arial"/>
          <w:b/>
          <w:bCs/>
          <w:sz w:val="22"/>
          <w:szCs w:val="22"/>
        </w:rPr>
        <w:t xml:space="preserve"> Pty Ltd ABN </w:t>
      </w:r>
      <w:r w:rsidR="00316907">
        <w:rPr>
          <w:rFonts w:ascii="Arial" w:hAnsi="Arial" w:cs="Arial"/>
          <w:b/>
          <w:bCs/>
          <w:sz w:val="22"/>
          <w:szCs w:val="22"/>
        </w:rPr>
        <w:t>xx xxx</w:t>
      </w:r>
      <w:r w:rsidR="00DE5AD5">
        <w:rPr>
          <w:rFonts w:ascii="Arial" w:hAnsi="Arial" w:cs="Arial"/>
          <w:b/>
          <w:bCs/>
          <w:sz w:val="22"/>
          <w:szCs w:val="22"/>
        </w:rPr>
        <w:t xml:space="preserve"> </w:t>
      </w:r>
      <w:proofErr w:type="spellStart"/>
      <w:r w:rsidR="00316907">
        <w:rPr>
          <w:rFonts w:ascii="Arial" w:hAnsi="Arial" w:cs="Arial"/>
          <w:b/>
          <w:bCs/>
          <w:sz w:val="22"/>
          <w:szCs w:val="22"/>
        </w:rPr>
        <w:t>xxx</w:t>
      </w:r>
      <w:proofErr w:type="spellEnd"/>
      <w:r w:rsidR="00DE5AD5">
        <w:rPr>
          <w:rFonts w:ascii="Arial" w:hAnsi="Arial" w:cs="Arial"/>
          <w:b/>
          <w:bCs/>
          <w:sz w:val="22"/>
          <w:szCs w:val="22"/>
        </w:rPr>
        <w:t xml:space="preserve"> </w:t>
      </w:r>
      <w:proofErr w:type="spellStart"/>
      <w:r w:rsidR="00316907">
        <w:rPr>
          <w:rFonts w:ascii="Arial" w:hAnsi="Arial" w:cs="Arial"/>
          <w:b/>
          <w:bCs/>
          <w:sz w:val="22"/>
          <w:szCs w:val="22"/>
        </w:rPr>
        <w:t>xxx</w:t>
      </w:r>
      <w:proofErr w:type="spellEnd"/>
      <w:r w:rsidR="00DE5AD5">
        <w:rPr>
          <w:rFonts w:ascii="Arial" w:hAnsi="Arial" w:cs="Arial"/>
          <w:b/>
          <w:bCs/>
          <w:sz w:val="22"/>
          <w:szCs w:val="22"/>
        </w:rPr>
        <w:t>, w</w:t>
      </w:r>
      <w:r w:rsidR="00C57078">
        <w:rPr>
          <w:rFonts w:ascii="Arial" w:hAnsi="Arial" w:cs="Arial"/>
          <w:b/>
          <w:bCs/>
          <w:sz w:val="22"/>
          <w:szCs w:val="22"/>
        </w:rPr>
        <w:t>as not factually distinguishable to those of the A</w:t>
      </w:r>
      <w:r w:rsidR="00316907">
        <w:rPr>
          <w:rFonts w:ascii="Arial" w:hAnsi="Arial" w:cs="Arial"/>
          <w:b/>
          <w:bCs/>
          <w:sz w:val="22"/>
          <w:szCs w:val="22"/>
        </w:rPr>
        <w:t xml:space="preserve"> </w:t>
      </w:r>
      <w:r w:rsidR="00C57078">
        <w:rPr>
          <w:rFonts w:ascii="Arial" w:hAnsi="Arial" w:cs="Arial"/>
          <w:b/>
          <w:bCs/>
          <w:sz w:val="22"/>
          <w:szCs w:val="22"/>
        </w:rPr>
        <w:t xml:space="preserve">Pty Ltd </w:t>
      </w:r>
      <w:r w:rsidR="00F629F8">
        <w:rPr>
          <w:rFonts w:ascii="Arial" w:hAnsi="Arial" w:cs="Arial"/>
          <w:b/>
          <w:bCs/>
          <w:sz w:val="22"/>
          <w:szCs w:val="22"/>
        </w:rPr>
        <w:t xml:space="preserve">and </w:t>
      </w:r>
      <w:r w:rsidR="00316907">
        <w:rPr>
          <w:rFonts w:ascii="Arial" w:hAnsi="Arial" w:cs="Arial"/>
          <w:b/>
          <w:bCs/>
          <w:sz w:val="22"/>
          <w:szCs w:val="22"/>
        </w:rPr>
        <w:t>B</w:t>
      </w:r>
      <w:r w:rsidR="00F629F8">
        <w:rPr>
          <w:rFonts w:ascii="Arial" w:hAnsi="Arial" w:cs="Arial"/>
          <w:b/>
          <w:bCs/>
          <w:sz w:val="22"/>
          <w:szCs w:val="22"/>
        </w:rPr>
        <w:t xml:space="preserve"> Group Operations were both successful</w:t>
      </w:r>
      <w:r w:rsidR="00727EA3">
        <w:rPr>
          <w:rFonts w:ascii="Arial" w:hAnsi="Arial" w:cs="Arial"/>
          <w:b/>
          <w:bCs/>
          <w:sz w:val="22"/>
          <w:szCs w:val="22"/>
        </w:rPr>
        <w:t xml:space="preserve"> in having GIC remitted in full.</w:t>
      </w:r>
    </w:p>
    <w:p w14:paraId="45CA89CA" w14:textId="77777777" w:rsidR="00320100" w:rsidRDefault="00320100" w:rsidP="00AF2BAA">
      <w:pPr>
        <w:pStyle w:val="Default"/>
        <w:rPr>
          <w:rFonts w:ascii="Arial" w:hAnsi="Arial" w:cs="Arial"/>
          <w:b/>
          <w:bCs/>
          <w:color w:val="auto"/>
          <w:sz w:val="22"/>
          <w:szCs w:val="22"/>
        </w:rPr>
      </w:pPr>
    </w:p>
    <w:p w14:paraId="64F692D7" w14:textId="360F292C" w:rsidR="00E27BEF" w:rsidRPr="00E27BEF" w:rsidRDefault="00E27BEF" w:rsidP="00AF2BAA">
      <w:pPr>
        <w:pStyle w:val="Default"/>
        <w:rPr>
          <w:rFonts w:ascii="Arial" w:hAnsi="Arial" w:cs="Arial"/>
          <w:color w:val="auto"/>
          <w:sz w:val="22"/>
          <w:szCs w:val="22"/>
        </w:rPr>
      </w:pPr>
      <w:r>
        <w:rPr>
          <w:rFonts w:ascii="Arial" w:hAnsi="Arial" w:cs="Arial"/>
          <w:color w:val="auto"/>
          <w:sz w:val="22"/>
          <w:szCs w:val="22"/>
        </w:rPr>
        <w:t xml:space="preserve">In summary, </w:t>
      </w:r>
      <w:r w:rsidR="00C47B2D">
        <w:rPr>
          <w:rFonts w:ascii="Arial" w:hAnsi="Arial" w:cs="Arial"/>
          <w:color w:val="auto"/>
          <w:sz w:val="22"/>
          <w:szCs w:val="22"/>
        </w:rPr>
        <w:t xml:space="preserve">we are respectfully requesting that the Commissioner of Taxation </w:t>
      </w:r>
      <w:r w:rsidR="00C22906">
        <w:rPr>
          <w:rFonts w:ascii="Arial" w:hAnsi="Arial" w:cs="Arial"/>
          <w:color w:val="auto"/>
          <w:sz w:val="22"/>
          <w:szCs w:val="22"/>
        </w:rPr>
        <w:t xml:space="preserve">consider remitting GIC in full for </w:t>
      </w:r>
      <w:r w:rsidR="006A58C3">
        <w:rPr>
          <w:rFonts w:ascii="Arial" w:hAnsi="Arial" w:cs="Arial"/>
          <w:color w:val="auto"/>
          <w:sz w:val="22"/>
          <w:szCs w:val="22"/>
        </w:rPr>
        <w:t>X</w:t>
      </w:r>
      <w:r w:rsidR="00C22906" w:rsidRPr="00BD02A9">
        <w:rPr>
          <w:rFonts w:ascii="Arial" w:hAnsi="Arial" w:cs="Arial"/>
          <w:b/>
          <w:bCs/>
          <w:sz w:val="22"/>
          <w:szCs w:val="22"/>
        </w:rPr>
        <w:t xml:space="preserve"> Pty Ltd ABN </w:t>
      </w:r>
      <w:r w:rsidR="006A58C3">
        <w:rPr>
          <w:rFonts w:ascii="Arial" w:hAnsi="Arial" w:cs="Arial"/>
          <w:b/>
          <w:bCs/>
          <w:sz w:val="22"/>
          <w:szCs w:val="22"/>
        </w:rPr>
        <w:t>xx xxx</w:t>
      </w:r>
      <w:r w:rsidR="00C22906">
        <w:rPr>
          <w:rFonts w:ascii="Arial" w:hAnsi="Arial" w:cs="Arial"/>
          <w:b/>
          <w:bCs/>
          <w:sz w:val="22"/>
          <w:szCs w:val="22"/>
        </w:rPr>
        <w:t xml:space="preserve"> </w:t>
      </w:r>
      <w:proofErr w:type="spellStart"/>
      <w:r w:rsidR="006A58C3">
        <w:rPr>
          <w:rFonts w:ascii="Arial" w:hAnsi="Arial" w:cs="Arial"/>
          <w:b/>
          <w:bCs/>
          <w:sz w:val="22"/>
          <w:szCs w:val="22"/>
        </w:rPr>
        <w:t>xxx</w:t>
      </w:r>
      <w:proofErr w:type="spellEnd"/>
      <w:r w:rsidR="00C22906">
        <w:rPr>
          <w:rFonts w:ascii="Arial" w:hAnsi="Arial" w:cs="Arial"/>
          <w:b/>
          <w:bCs/>
          <w:sz w:val="22"/>
          <w:szCs w:val="22"/>
        </w:rPr>
        <w:t xml:space="preserve"> </w:t>
      </w:r>
      <w:proofErr w:type="spellStart"/>
      <w:r w:rsidR="006A58C3">
        <w:rPr>
          <w:rFonts w:ascii="Arial" w:hAnsi="Arial" w:cs="Arial"/>
          <w:b/>
          <w:bCs/>
          <w:sz w:val="22"/>
          <w:szCs w:val="22"/>
        </w:rPr>
        <w:t>xxx</w:t>
      </w:r>
      <w:proofErr w:type="spellEnd"/>
      <w:r w:rsidR="00C22906">
        <w:rPr>
          <w:rFonts w:ascii="Arial" w:hAnsi="Arial" w:cs="Arial"/>
          <w:b/>
          <w:bCs/>
          <w:sz w:val="22"/>
          <w:szCs w:val="22"/>
        </w:rPr>
        <w:t xml:space="preserve">, on the </w:t>
      </w:r>
      <w:r w:rsidR="002B38A7">
        <w:rPr>
          <w:rFonts w:ascii="Arial" w:hAnsi="Arial" w:cs="Arial"/>
          <w:b/>
          <w:bCs/>
          <w:sz w:val="22"/>
          <w:szCs w:val="22"/>
        </w:rPr>
        <w:t xml:space="preserve">legal basis of consistency </w:t>
      </w:r>
      <w:r w:rsidR="00544B23">
        <w:rPr>
          <w:rFonts w:ascii="Arial" w:hAnsi="Arial" w:cs="Arial"/>
          <w:b/>
          <w:bCs/>
          <w:sz w:val="22"/>
          <w:szCs w:val="22"/>
        </w:rPr>
        <w:t>of decision making</w:t>
      </w:r>
      <w:r w:rsidR="003B4612">
        <w:rPr>
          <w:rFonts w:ascii="Arial" w:hAnsi="Arial" w:cs="Arial"/>
          <w:b/>
          <w:bCs/>
          <w:sz w:val="22"/>
          <w:szCs w:val="22"/>
        </w:rPr>
        <w:t xml:space="preserve"> an</w:t>
      </w:r>
      <w:r w:rsidR="0079320E">
        <w:rPr>
          <w:rFonts w:ascii="Arial" w:hAnsi="Arial" w:cs="Arial"/>
          <w:b/>
          <w:bCs/>
          <w:sz w:val="22"/>
          <w:szCs w:val="22"/>
        </w:rPr>
        <w:t>d additionally on the basis that it lead to an unjust result</w:t>
      </w:r>
      <w:r w:rsidR="00544B23">
        <w:rPr>
          <w:rFonts w:ascii="Arial" w:hAnsi="Arial" w:cs="Arial"/>
          <w:b/>
          <w:bCs/>
          <w:sz w:val="22"/>
          <w:szCs w:val="22"/>
        </w:rPr>
        <w:t xml:space="preserve">, </w:t>
      </w:r>
      <w:r w:rsidR="0010559D">
        <w:rPr>
          <w:rFonts w:ascii="Arial" w:hAnsi="Arial" w:cs="Arial"/>
          <w:b/>
          <w:bCs/>
          <w:sz w:val="22"/>
          <w:szCs w:val="22"/>
        </w:rPr>
        <w:t>as stated in the Commissioner of Taxation</w:t>
      </w:r>
      <w:r w:rsidR="00F34513">
        <w:rPr>
          <w:rFonts w:ascii="Arial" w:hAnsi="Arial" w:cs="Arial"/>
          <w:b/>
          <w:bCs/>
          <w:sz w:val="22"/>
          <w:szCs w:val="22"/>
        </w:rPr>
        <w:t xml:space="preserve">’s citable source </w:t>
      </w:r>
      <w:r w:rsidR="0065155D">
        <w:rPr>
          <w:rFonts w:ascii="Arial" w:hAnsi="Arial" w:cs="Arial"/>
          <w:b/>
          <w:bCs/>
          <w:sz w:val="22"/>
          <w:szCs w:val="22"/>
        </w:rPr>
        <w:t>for making “</w:t>
      </w:r>
      <w:r w:rsidR="0065155D">
        <w:rPr>
          <w:rStyle w:val="Strong"/>
          <w:rFonts w:ascii="Arial" w:hAnsi="Arial" w:cs="Arial"/>
          <w:color w:val="212529"/>
          <w:sz w:val="21"/>
          <w:szCs w:val="21"/>
          <w:shd w:val="clear" w:color="auto" w:fill="FFFFFF"/>
        </w:rPr>
        <w:t>general principles for ATO decision making”</w:t>
      </w:r>
      <w:r w:rsidR="007A17F1">
        <w:rPr>
          <w:rStyle w:val="Strong"/>
          <w:rFonts w:ascii="Arial" w:hAnsi="Arial" w:cs="Arial"/>
          <w:color w:val="212529"/>
          <w:sz w:val="21"/>
          <w:szCs w:val="21"/>
          <w:shd w:val="clear" w:color="auto" w:fill="FFFFFF"/>
        </w:rPr>
        <w:t>, as stated in three PS LA 20</w:t>
      </w:r>
      <w:r w:rsidR="00B42C2E">
        <w:rPr>
          <w:rStyle w:val="Strong"/>
          <w:rFonts w:ascii="Arial" w:hAnsi="Arial" w:cs="Arial"/>
          <w:color w:val="212529"/>
          <w:sz w:val="21"/>
          <w:szCs w:val="21"/>
          <w:shd w:val="clear" w:color="auto" w:fill="FFFFFF"/>
        </w:rPr>
        <w:t>23/1, PS</w:t>
      </w:r>
      <w:r w:rsidR="0079320E">
        <w:rPr>
          <w:rStyle w:val="Strong"/>
          <w:rFonts w:ascii="Arial" w:hAnsi="Arial" w:cs="Arial"/>
          <w:color w:val="212529"/>
          <w:sz w:val="21"/>
          <w:szCs w:val="21"/>
          <w:shd w:val="clear" w:color="auto" w:fill="FFFFFF"/>
        </w:rPr>
        <w:t xml:space="preserve"> LA</w:t>
      </w:r>
      <w:r w:rsidR="003F4324">
        <w:rPr>
          <w:rStyle w:val="Strong"/>
          <w:rFonts w:ascii="Arial" w:hAnsi="Arial" w:cs="Arial"/>
          <w:color w:val="212529"/>
          <w:sz w:val="21"/>
          <w:szCs w:val="21"/>
          <w:shd w:val="clear" w:color="auto" w:fill="FFFFFF"/>
        </w:rPr>
        <w:t xml:space="preserve"> 2007/4 </w:t>
      </w:r>
      <w:r w:rsidR="00B42C2E">
        <w:rPr>
          <w:rStyle w:val="Strong"/>
          <w:rFonts w:ascii="Arial" w:hAnsi="Arial" w:cs="Arial"/>
          <w:color w:val="212529"/>
          <w:sz w:val="21"/>
          <w:szCs w:val="21"/>
          <w:shd w:val="clear" w:color="auto" w:fill="FFFFFF"/>
        </w:rPr>
        <w:t>and 2006/17</w:t>
      </w:r>
      <w:r w:rsidR="003F4324">
        <w:rPr>
          <w:rStyle w:val="Strong"/>
          <w:rFonts w:ascii="Arial" w:hAnsi="Arial" w:cs="Arial"/>
          <w:color w:val="212529"/>
          <w:sz w:val="21"/>
          <w:szCs w:val="21"/>
          <w:shd w:val="clear" w:color="auto" w:fill="FFFFFF"/>
        </w:rPr>
        <w:t xml:space="preserve">. </w:t>
      </w:r>
      <w:r w:rsidR="003F4324">
        <w:rPr>
          <w:rStyle w:val="Strong"/>
          <w:rFonts w:ascii="Arial" w:hAnsi="Arial" w:cs="Arial"/>
          <w:b w:val="0"/>
          <w:bCs w:val="0"/>
          <w:color w:val="212529"/>
          <w:sz w:val="21"/>
          <w:szCs w:val="21"/>
          <w:shd w:val="clear" w:color="auto" w:fill="FFFFFF"/>
        </w:rPr>
        <w:t xml:space="preserve">We note that the taxpayer is protected from penalty and interest </w:t>
      </w:r>
      <w:r w:rsidR="00EC1F46">
        <w:rPr>
          <w:rStyle w:val="Strong"/>
          <w:rFonts w:ascii="Arial" w:hAnsi="Arial" w:cs="Arial"/>
          <w:b w:val="0"/>
          <w:bCs w:val="0"/>
          <w:color w:val="212529"/>
          <w:sz w:val="21"/>
          <w:szCs w:val="21"/>
          <w:shd w:val="clear" w:color="auto" w:fill="FFFFFF"/>
        </w:rPr>
        <w:t>being applied in this matter pursuant</w:t>
      </w:r>
      <w:r w:rsidR="00016855">
        <w:rPr>
          <w:rStyle w:val="Strong"/>
          <w:rFonts w:ascii="Arial" w:hAnsi="Arial" w:cs="Arial"/>
          <w:b w:val="0"/>
          <w:bCs w:val="0"/>
          <w:color w:val="212529"/>
          <w:sz w:val="21"/>
          <w:szCs w:val="21"/>
          <w:shd w:val="clear" w:color="auto" w:fill="FFFFFF"/>
        </w:rPr>
        <w:t xml:space="preserve"> </w:t>
      </w:r>
      <w:r w:rsidR="008D7309">
        <w:rPr>
          <w:rStyle w:val="Strong"/>
          <w:rFonts w:ascii="Arial" w:hAnsi="Arial" w:cs="Arial"/>
          <w:b w:val="0"/>
          <w:bCs w:val="0"/>
          <w:color w:val="212529"/>
          <w:sz w:val="21"/>
          <w:szCs w:val="21"/>
          <w:shd w:val="clear" w:color="auto" w:fill="FFFFFF"/>
        </w:rPr>
        <w:t xml:space="preserve">by the </w:t>
      </w:r>
      <w:r w:rsidR="00B7558E">
        <w:rPr>
          <w:rStyle w:val="Strong"/>
          <w:rFonts w:ascii="Arial" w:hAnsi="Arial" w:cs="Arial"/>
          <w:b w:val="0"/>
          <w:bCs w:val="0"/>
          <w:color w:val="212529"/>
          <w:sz w:val="21"/>
          <w:szCs w:val="21"/>
          <w:shd w:val="clear" w:color="auto" w:fill="FFFFFF"/>
        </w:rPr>
        <w:t xml:space="preserve">three </w:t>
      </w:r>
      <w:r w:rsidR="008D7309">
        <w:rPr>
          <w:rStyle w:val="Strong"/>
          <w:rFonts w:ascii="Arial" w:hAnsi="Arial" w:cs="Arial"/>
          <w:b w:val="0"/>
          <w:bCs w:val="0"/>
          <w:color w:val="212529"/>
          <w:sz w:val="21"/>
          <w:szCs w:val="21"/>
          <w:shd w:val="clear" w:color="auto" w:fill="FFFFFF"/>
        </w:rPr>
        <w:t>above cited PS LAs.</w:t>
      </w:r>
    </w:p>
    <w:p w14:paraId="6D278EA8" w14:textId="77777777" w:rsidR="00E27BEF" w:rsidRDefault="00E27BEF" w:rsidP="00AF2BAA">
      <w:pPr>
        <w:pStyle w:val="Default"/>
        <w:rPr>
          <w:rFonts w:ascii="Arial" w:hAnsi="Arial" w:cs="Arial"/>
          <w:b/>
          <w:bCs/>
          <w:color w:val="auto"/>
          <w:sz w:val="22"/>
          <w:szCs w:val="22"/>
        </w:rPr>
      </w:pPr>
    </w:p>
    <w:p w14:paraId="4A1B27BC" w14:textId="26FFFE46" w:rsidR="00AF2BAA" w:rsidRPr="00BD02A9" w:rsidRDefault="00381EB3" w:rsidP="00AF2BAA">
      <w:pPr>
        <w:pStyle w:val="Default"/>
        <w:rPr>
          <w:rFonts w:ascii="Arial" w:hAnsi="Arial" w:cs="Arial"/>
          <w:b/>
          <w:bCs/>
          <w:color w:val="auto"/>
          <w:sz w:val="22"/>
          <w:szCs w:val="22"/>
        </w:rPr>
      </w:pPr>
      <w:r w:rsidRPr="00BD02A9">
        <w:rPr>
          <w:rFonts w:ascii="Arial" w:hAnsi="Arial" w:cs="Arial"/>
          <w:b/>
          <w:bCs/>
          <w:color w:val="auto"/>
          <w:sz w:val="22"/>
          <w:szCs w:val="22"/>
        </w:rPr>
        <w:t>SUMMARY OF REQUEST FOR REMISSION OF GIC</w:t>
      </w:r>
      <w:r w:rsidR="00B60EEE" w:rsidRPr="00BD02A9">
        <w:rPr>
          <w:rFonts w:ascii="Arial" w:hAnsi="Arial" w:cs="Arial"/>
          <w:b/>
          <w:bCs/>
          <w:color w:val="auto"/>
          <w:sz w:val="22"/>
          <w:szCs w:val="22"/>
        </w:rPr>
        <w:t xml:space="preserve"> FROM 1 JULY 2020</w:t>
      </w:r>
    </w:p>
    <w:p w14:paraId="418F3E6C" w14:textId="77777777" w:rsidR="00381EB3" w:rsidRPr="00BD02A9" w:rsidRDefault="00381EB3" w:rsidP="00AF2BAA">
      <w:pPr>
        <w:pStyle w:val="Default"/>
        <w:rPr>
          <w:rFonts w:ascii="Arial" w:hAnsi="Arial" w:cs="Arial"/>
          <w:color w:val="auto"/>
          <w:sz w:val="22"/>
          <w:szCs w:val="22"/>
        </w:rPr>
      </w:pPr>
    </w:p>
    <w:p w14:paraId="0ED03689" w14:textId="5D407A30" w:rsidR="00AF2BAA" w:rsidRDefault="00AF2BAA" w:rsidP="00AF2BAA">
      <w:pPr>
        <w:pStyle w:val="Default"/>
        <w:rPr>
          <w:rFonts w:ascii="Arial" w:hAnsi="Arial" w:cs="Arial"/>
          <w:sz w:val="22"/>
          <w:szCs w:val="22"/>
        </w:rPr>
      </w:pPr>
      <w:r w:rsidRPr="00BD02A9">
        <w:rPr>
          <w:rFonts w:ascii="Arial" w:hAnsi="Arial" w:cs="Arial"/>
          <w:color w:val="auto"/>
          <w:sz w:val="22"/>
          <w:szCs w:val="22"/>
        </w:rPr>
        <w:t xml:space="preserve">We respectfully claim that the taxpayer in terms of their own factual matrix has satisfied both Grounds (a) and (c), when we only need to satisfy one of the three grounds stated </w:t>
      </w:r>
      <w:r w:rsidR="00A57892">
        <w:rPr>
          <w:rFonts w:ascii="Arial" w:hAnsi="Arial" w:cs="Arial"/>
          <w:color w:val="auto"/>
          <w:sz w:val="22"/>
          <w:szCs w:val="22"/>
        </w:rPr>
        <w:t>at</w:t>
      </w:r>
      <w:r w:rsidR="00B1456F">
        <w:rPr>
          <w:rFonts w:ascii="Arial" w:hAnsi="Arial" w:cs="Arial"/>
          <w:color w:val="auto"/>
          <w:sz w:val="22"/>
          <w:szCs w:val="22"/>
        </w:rPr>
        <w:t xml:space="preserve"> </w:t>
      </w:r>
      <w:r w:rsidRPr="00BD02A9">
        <w:rPr>
          <w:rFonts w:ascii="Arial" w:hAnsi="Arial" w:cs="Arial"/>
          <w:color w:val="auto"/>
          <w:sz w:val="22"/>
          <w:szCs w:val="22"/>
        </w:rPr>
        <w:t xml:space="preserve">paragraph 17 in </w:t>
      </w:r>
      <w:r w:rsidR="00A57892">
        <w:rPr>
          <w:rFonts w:ascii="Arial" w:hAnsi="Arial" w:cs="Arial"/>
          <w:color w:val="auto"/>
          <w:sz w:val="22"/>
          <w:szCs w:val="22"/>
        </w:rPr>
        <w:t xml:space="preserve">the Explanatory Statement </w:t>
      </w:r>
      <w:r w:rsidRPr="00BD02A9">
        <w:rPr>
          <w:rFonts w:ascii="Arial" w:hAnsi="Arial" w:cs="Arial"/>
          <w:color w:val="auto"/>
          <w:sz w:val="22"/>
          <w:szCs w:val="22"/>
        </w:rPr>
        <w:t>LI 2023/17, and therefore, this GIC Remission request should be granted</w:t>
      </w:r>
      <w:r w:rsidR="00D27685">
        <w:rPr>
          <w:rFonts w:ascii="Arial" w:hAnsi="Arial" w:cs="Arial"/>
          <w:color w:val="auto"/>
          <w:sz w:val="22"/>
          <w:szCs w:val="22"/>
        </w:rPr>
        <w:t>,</w:t>
      </w:r>
      <w:r w:rsidRPr="00BD02A9">
        <w:rPr>
          <w:rFonts w:ascii="Arial" w:hAnsi="Arial" w:cs="Arial"/>
          <w:color w:val="auto"/>
          <w:sz w:val="22"/>
          <w:szCs w:val="22"/>
        </w:rPr>
        <w:t xml:space="preserve"> </w:t>
      </w:r>
      <w:r w:rsidR="00D27685" w:rsidRPr="00D27685">
        <w:rPr>
          <w:rFonts w:ascii="Arial" w:hAnsi="Arial" w:cs="Arial"/>
          <w:sz w:val="22"/>
          <w:szCs w:val="22"/>
        </w:rPr>
        <w:t>on the legal basis of consistency of decision making and additionally on the basis that it lead to an unjust result.</w:t>
      </w:r>
    </w:p>
    <w:p w14:paraId="2095659B" w14:textId="77777777" w:rsidR="003E2685" w:rsidRDefault="003E2685" w:rsidP="00AF2BAA">
      <w:pPr>
        <w:pStyle w:val="Default"/>
        <w:rPr>
          <w:rFonts w:ascii="Arial" w:hAnsi="Arial" w:cs="Arial"/>
          <w:sz w:val="22"/>
          <w:szCs w:val="22"/>
        </w:rPr>
      </w:pPr>
    </w:p>
    <w:p w14:paraId="0B0F167E" w14:textId="4CF326FE" w:rsidR="003E2685" w:rsidRPr="00D27685" w:rsidRDefault="003E2685" w:rsidP="00AF2BAA">
      <w:pPr>
        <w:pStyle w:val="Default"/>
        <w:rPr>
          <w:rFonts w:ascii="Arial" w:hAnsi="Arial" w:cs="Arial"/>
          <w:color w:val="auto"/>
          <w:sz w:val="22"/>
          <w:szCs w:val="22"/>
        </w:rPr>
      </w:pPr>
      <w:r>
        <w:rPr>
          <w:rFonts w:ascii="Arial" w:hAnsi="Arial" w:cs="Arial"/>
          <w:sz w:val="22"/>
          <w:szCs w:val="22"/>
        </w:rPr>
        <w:t xml:space="preserve">Please consider </w:t>
      </w:r>
      <w:r w:rsidR="00EE31C3">
        <w:rPr>
          <w:rFonts w:ascii="Arial" w:hAnsi="Arial" w:cs="Arial"/>
          <w:sz w:val="22"/>
          <w:szCs w:val="22"/>
        </w:rPr>
        <w:t xml:space="preserve">contacting me directly </w:t>
      </w:r>
      <w:proofErr w:type="gramStart"/>
      <w:r w:rsidR="00EE31C3">
        <w:rPr>
          <w:rFonts w:ascii="Arial" w:hAnsi="Arial" w:cs="Arial"/>
          <w:sz w:val="22"/>
          <w:szCs w:val="22"/>
        </w:rPr>
        <w:t>in order to</w:t>
      </w:r>
      <w:proofErr w:type="gramEnd"/>
      <w:r w:rsidR="00EE31C3">
        <w:rPr>
          <w:rFonts w:ascii="Arial" w:hAnsi="Arial" w:cs="Arial"/>
          <w:sz w:val="22"/>
          <w:szCs w:val="22"/>
        </w:rPr>
        <w:t xml:space="preserve"> further discuss this matter</w:t>
      </w:r>
      <w:r w:rsidR="007D6D71">
        <w:rPr>
          <w:rFonts w:ascii="Arial" w:hAnsi="Arial" w:cs="Arial"/>
          <w:sz w:val="22"/>
          <w:szCs w:val="22"/>
        </w:rPr>
        <w:t>.</w:t>
      </w:r>
    </w:p>
    <w:p w14:paraId="6D9BD0F0" w14:textId="77777777" w:rsidR="00A14E8E" w:rsidRPr="00BD02A9" w:rsidRDefault="00A14E8E" w:rsidP="00AF2BAA">
      <w:pPr>
        <w:pStyle w:val="Default"/>
        <w:rPr>
          <w:rFonts w:ascii="Arial" w:hAnsi="Arial" w:cs="Arial"/>
          <w:color w:val="auto"/>
          <w:sz w:val="22"/>
          <w:szCs w:val="22"/>
        </w:rPr>
      </w:pPr>
    </w:p>
    <w:p w14:paraId="6833D8E1" w14:textId="77777777" w:rsidR="00EB4639" w:rsidRPr="00BD02A9" w:rsidRDefault="00AF2BAA" w:rsidP="00AF2BAA">
      <w:pPr>
        <w:pStyle w:val="Default"/>
        <w:rPr>
          <w:rFonts w:ascii="Arial" w:hAnsi="Arial" w:cs="Arial"/>
          <w:color w:val="auto"/>
          <w:sz w:val="22"/>
          <w:szCs w:val="22"/>
        </w:rPr>
      </w:pPr>
      <w:r w:rsidRPr="00BD02A9">
        <w:rPr>
          <w:rFonts w:ascii="Arial" w:hAnsi="Arial" w:cs="Arial"/>
          <w:color w:val="auto"/>
          <w:sz w:val="22"/>
          <w:szCs w:val="22"/>
        </w:rPr>
        <w:t>Yours faithfully,</w:t>
      </w:r>
    </w:p>
    <w:p w14:paraId="1D1E4161" w14:textId="77777777" w:rsidR="00EB4639" w:rsidRPr="00BD02A9" w:rsidRDefault="00EB4639" w:rsidP="00AF2BAA">
      <w:pPr>
        <w:pStyle w:val="Default"/>
        <w:rPr>
          <w:rFonts w:ascii="Arial" w:hAnsi="Arial" w:cs="Arial"/>
          <w:color w:val="auto"/>
          <w:sz w:val="22"/>
          <w:szCs w:val="22"/>
        </w:rPr>
      </w:pPr>
    </w:p>
    <w:p w14:paraId="64C8D413" w14:textId="2C142D65" w:rsidR="00AF2BAA" w:rsidRPr="00BD02A9" w:rsidRDefault="00AF2BAA" w:rsidP="00AF2BAA">
      <w:pPr>
        <w:pStyle w:val="Default"/>
        <w:rPr>
          <w:rFonts w:ascii="Arial" w:hAnsi="Arial" w:cs="Arial"/>
          <w:color w:val="auto"/>
          <w:sz w:val="22"/>
          <w:szCs w:val="22"/>
        </w:rPr>
      </w:pPr>
      <w:r w:rsidRPr="00BD02A9">
        <w:rPr>
          <w:rFonts w:ascii="Arial" w:hAnsi="Arial" w:cs="Arial"/>
          <w:color w:val="auto"/>
          <w:sz w:val="22"/>
          <w:szCs w:val="22"/>
        </w:rPr>
        <w:t xml:space="preserve"> </w:t>
      </w:r>
    </w:p>
    <w:p w14:paraId="1218B91D" w14:textId="77777777" w:rsidR="006F28DE" w:rsidRPr="00BD02A9" w:rsidRDefault="006F28DE" w:rsidP="00A14E8E">
      <w:pPr>
        <w:pStyle w:val="Default"/>
        <w:rPr>
          <w:rFonts w:ascii="Arial" w:hAnsi="Arial" w:cs="Arial"/>
          <w:color w:val="auto"/>
          <w:sz w:val="22"/>
          <w:szCs w:val="22"/>
        </w:rPr>
      </w:pPr>
    </w:p>
    <w:p w14:paraId="274CA745" w14:textId="42471FFA" w:rsidR="00373B22" w:rsidRDefault="003E2685" w:rsidP="00A14E8E">
      <w:pPr>
        <w:pStyle w:val="Default"/>
        <w:rPr>
          <w:rFonts w:ascii="Arial" w:hAnsi="Arial" w:cs="Arial"/>
          <w:color w:val="auto"/>
          <w:sz w:val="22"/>
          <w:szCs w:val="22"/>
        </w:rPr>
      </w:pPr>
      <w:r>
        <w:rPr>
          <w:rFonts w:ascii="Arial" w:hAnsi="Arial" w:cs="Arial"/>
          <w:color w:val="auto"/>
          <w:sz w:val="22"/>
          <w:szCs w:val="22"/>
        </w:rPr>
        <w:t>Mr X XXXX</w:t>
      </w:r>
    </w:p>
    <w:p w14:paraId="1BB97126" w14:textId="32F12682" w:rsidR="003E2685" w:rsidRDefault="003E2685" w:rsidP="00A14E8E">
      <w:pPr>
        <w:pStyle w:val="Default"/>
        <w:rPr>
          <w:rFonts w:ascii="Arial" w:hAnsi="Arial" w:cs="Arial"/>
          <w:color w:val="auto"/>
          <w:sz w:val="22"/>
          <w:szCs w:val="22"/>
        </w:rPr>
      </w:pPr>
      <w:r>
        <w:rPr>
          <w:rFonts w:ascii="Arial" w:hAnsi="Arial" w:cs="Arial"/>
          <w:color w:val="auto"/>
          <w:sz w:val="22"/>
          <w:szCs w:val="22"/>
        </w:rPr>
        <w:t>Managing Partner</w:t>
      </w:r>
    </w:p>
    <w:p w14:paraId="1C21D942" w14:textId="103C3D57" w:rsidR="00EE31C3" w:rsidRPr="00BD02A9" w:rsidRDefault="00EE31C3" w:rsidP="00A14E8E">
      <w:pPr>
        <w:pStyle w:val="Default"/>
        <w:rPr>
          <w:rFonts w:ascii="Arial" w:hAnsi="Arial" w:cs="Arial"/>
          <w:color w:val="auto"/>
          <w:sz w:val="22"/>
          <w:szCs w:val="22"/>
        </w:rPr>
      </w:pPr>
      <w:r>
        <w:rPr>
          <w:rFonts w:ascii="Arial" w:hAnsi="Arial" w:cs="Arial"/>
          <w:color w:val="auto"/>
          <w:sz w:val="22"/>
          <w:szCs w:val="22"/>
        </w:rPr>
        <w:t xml:space="preserve">04 </w:t>
      </w:r>
      <w:proofErr w:type="spellStart"/>
      <w:r>
        <w:rPr>
          <w:rFonts w:ascii="Arial" w:hAnsi="Arial" w:cs="Arial"/>
          <w:color w:val="auto"/>
          <w:sz w:val="22"/>
          <w:szCs w:val="22"/>
        </w:rPr>
        <w:t>xxxxxxxxxx</w:t>
      </w:r>
      <w:proofErr w:type="spellEnd"/>
    </w:p>
    <w:sectPr w:rsidR="00EE31C3" w:rsidRPr="00BD02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5839D" w14:textId="77777777" w:rsidR="005278F5" w:rsidRDefault="005278F5" w:rsidP="002C79AB">
      <w:r>
        <w:separator/>
      </w:r>
    </w:p>
  </w:endnote>
  <w:endnote w:type="continuationSeparator" w:id="0">
    <w:p w14:paraId="3B30F5B3" w14:textId="77777777" w:rsidR="005278F5" w:rsidRDefault="005278F5" w:rsidP="002C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2E31A" w14:textId="77777777" w:rsidR="005278F5" w:rsidRDefault="005278F5" w:rsidP="002C79AB">
      <w:r>
        <w:separator/>
      </w:r>
    </w:p>
  </w:footnote>
  <w:footnote w:type="continuationSeparator" w:id="0">
    <w:p w14:paraId="6367EA05" w14:textId="77777777" w:rsidR="005278F5" w:rsidRDefault="005278F5" w:rsidP="002C79AB">
      <w:r>
        <w:continuationSeparator/>
      </w:r>
    </w:p>
  </w:footnote>
  <w:footnote w:id="1">
    <w:p w14:paraId="429AA7F3" w14:textId="77777777" w:rsidR="002C79AB" w:rsidRDefault="002C79AB" w:rsidP="002C79AB">
      <w:pPr>
        <w:pStyle w:val="FootnoteText"/>
      </w:pPr>
      <w:r>
        <w:rPr>
          <w:rStyle w:val="FootnoteReference"/>
        </w:rPr>
        <w:footnoteRef/>
      </w:r>
      <w:r>
        <w:t xml:space="preserve"> </w:t>
      </w:r>
      <w:r>
        <w:tab/>
        <w:t xml:space="preserve">See PS LA 2008/3, TR 2006/10, PS LA 2003/3 and PS LA 2012/5. </w:t>
      </w:r>
    </w:p>
  </w:footnote>
  <w:footnote w:id="2">
    <w:p w14:paraId="1219C4E0" w14:textId="77777777" w:rsidR="002C79AB" w:rsidRDefault="002C79AB" w:rsidP="002C79AB">
      <w:pPr>
        <w:pStyle w:val="FootnoteText"/>
      </w:pPr>
      <w:r>
        <w:rPr>
          <w:rStyle w:val="FootnoteReference"/>
        </w:rPr>
        <w:footnoteRef/>
      </w:r>
      <w:r>
        <w:t xml:space="preserve"> </w:t>
      </w:r>
      <w:r>
        <w:tab/>
        <w:t>This column relates to protection from false or misleading statement penalties.</w:t>
      </w:r>
    </w:p>
  </w:footnote>
  <w:footnote w:id="3">
    <w:p w14:paraId="01A27855" w14:textId="77777777" w:rsidR="002C79AB" w:rsidRDefault="002C79AB" w:rsidP="002C79AB">
      <w:pPr>
        <w:pStyle w:val="FootnoteText"/>
      </w:pPr>
      <w:r>
        <w:rPr>
          <w:rStyle w:val="FootnoteReference"/>
        </w:rPr>
        <w:footnoteRef/>
      </w:r>
      <w:r>
        <w:t xml:space="preserve"> </w:t>
      </w:r>
      <w:r>
        <w:tab/>
        <w:t>Taxpayers will only be protected from interest on shortfalls where they have acted reasonably and in good faith. Protection also does not cover GIC for late payment of the shortfall (i.e. more than 21 days after the Commissioner notified the taxpayer of the correct position).</w:t>
      </w:r>
    </w:p>
  </w:footnote>
  <w:footnote w:id="4">
    <w:p w14:paraId="7A577CCD" w14:textId="77777777" w:rsidR="002C79AB" w:rsidRDefault="002C79AB" w:rsidP="002C79AB">
      <w:pPr>
        <w:pStyle w:val="FootnoteText"/>
      </w:pPr>
      <w:r>
        <w:rPr>
          <w:rStyle w:val="FootnoteReference"/>
        </w:rPr>
        <w:footnoteRef/>
      </w:r>
      <w:r>
        <w:t xml:space="preserve"> </w:t>
      </w:r>
      <w:r>
        <w:tab/>
        <w:t>Unless labelled as public rulings. Also see Attachment B to PS LA 2008/3 for a list of topics on which the Commissioner can provide administratively binding advice, including superannuation law, takeover bids, and various circumstances where there is no entity in existence or identifiable as a suitable private ruling applicant — e.g. private or public infrastructure schemes, and proposed commercial-in-confidence products.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E2BA5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03006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C76EB1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1809CC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B024F80"/>
    <w:multiLevelType w:val="hybridMultilevel"/>
    <w:tmpl w:val="71543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544C5F"/>
    <w:multiLevelType w:val="hybridMultilevel"/>
    <w:tmpl w:val="3F9CD4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2D235735"/>
    <w:multiLevelType w:val="hybridMultilevel"/>
    <w:tmpl w:val="C2525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EE1D36"/>
    <w:multiLevelType w:val="singleLevel"/>
    <w:tmpl w:val="A50AEF10"/>
    <w:lvl w:ilvl="0">
      <w:start w:val="1"/>
      <w:numFmt w:val="bullet"/>
      <w:pStyle w:val="ListBullet"/>
      <w:lvlText w:val=""/>
      <w:lvlJc w:val="left"/>
      <w:pPr>
        <w:ind w:left="360" w:hanging="360"/>
      </w:pPr>
      <w:rPr>
        <w:rFonts w:ascii="Wingdings 2" w:hAnsi="Wingdings 2" w:hint="default"/>
        <w:color w:val="000000" w:themeColor="text1"/>
        <w:sz w:val="22"/>
      </w:rPr>
    </w:lvl>
  </w:abstractNum>
  <w:abstractNum w:abstractNumId="8" w15:restartNumberingAfterBreak="0">
    <w:nsid w:val="3F4E5F91"/>
    <w:multiLevelType w:val="hybridMultilevel"/>
    <w:tmpl w:val="15BAD9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C85EC8"/>
    <w:multiLevelType w:val="hybridMultilevel"/>
    <w:tmpl w:val="4B1258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69605C5E"/>
    <w:multiLevelType w:val="multilevel"/>
    <w:tmpl w:val="76D08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37F6F"/>
    <w:multiLevelType w:val="hybridMultilevel"/>
    <w:tmpl w:val="E528CBD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5922F1B"/>
    <w:multiLevelType w:val="hybridMultilevel"/>
    <w:tmpl w:val="AEB87C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34203737">
    <w:abstractNumId w:val="2"/>
  </w:num>
  <w:num w:numId="2" w16cid:durableId="958955310">
    <w:abstractNumId w:val="3"/>
  </w:num>
  <w:num w:numId="3" w16cid:durableId="1472794213">
    <w:abstractNumId w:val="1"/>
  </w:num>
  <w:num w:numId="4" w16cid:durableId="983044006">
    <w:abstractNumId w:val="0"/>
  </w:num>
  <w:num w:numId="5" w16cid:durableId="539318632">
    <w:abstractNumId w:val="6"/>
  </w:num>
  <w:num w:numId="6" w16cid:durableId="2018075680">
    <w:abstractNumId w:val="10"/>
  </w:num>
  <w:num w:numId="7" w16cid:durableId="1181898119">
    <w:abstractNumId w:val="9"/>
  </w:num>
  <w:num w:numId="8" w16cid:durableId="1978142764">
    <w:abstractNumId w:val="4"/>
  </w:num>
  <w:num w:numId="9" w16cid:durableId="239827908">
    <w:abstractNumId w:val="11"/>
  </w:num>
  <w:num w:numId="10" w16cid:durableId="2124110828">
    <w:abstractNumId w:val="7"/>
  </w:num>
  <w:num w:numId="11" w16cid:durableId="812529502">
    <w:abstractNumId w:val="8"/>
  </w:num>
  <w:num w:numId="12" w16cid:durableId="1896775130">
    <w:abstractNumId w:val="12"/>
  </w:num>
  <w:num w:numId="13" w16cid:durableId="9578383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AA"/>
    <w:rsid w:val="000113F3"/>
    <w:rsid w:val="00015D2D"/>
    <w:rsid w:val="00016855"/>
    <w:rsid w:val="000404FC"/>
    <w:rsid w:val="000676AD"/>
    <w:rsid w:val="000716FB"/>
    <w:rsid w:val="0007458C"/>
    <w:rsid w:val="000856E0"/>
    <w:rsid w:val="000D7CF3"/>
    <w:rsid w:val="000E3AB1"/>
    <w:rsid w:val="000F2023"/>
    <w:rsid w:val="0010559D"/>
    <w:rsid w:val="001136D2"/>
    <w:rsid w:val="001171EA"/>
    <w:rsid w:val="00117C55"/>
    <w:rsid w:val="001707B2"/>
    <w:rsid w:val="001A49D7"/>
    <w:rsid w:val="001B54E7"/>
    <w:rsid w:val="001D7C5B"/>
    <w:rsid w:val="001E191E"/>
    <w:rsid w:val="00202A95"/>
    <w:rsid w:val="0027371A"/>
    <w:rsid w:val="002923D9"/>
    <w:rsid w:val="002B38A7"/>
    <w:rsid w:val="002C79AB"/>
    <w:rsid w:val="002D082E"/>
    <w:rsid w:val="003034EC"/>
    <w:rsid w:val="00316907"/>
    <w:rsid w:val="00320100"/>
    <w:rsid w:val="00373B22"/>
    <w:rsid w:val="0037754F"/>
    <w:rsid w:val="00381EB3"/>
    <w:rsid w:val="003B4612"/>
    <w:rsid w:val="003E2685"/>
    <w:rsid w:val="003F4324"/>
    <w:rsid w:val="00417903"/>
    <w:rsid w:val="00427A9D"/>
    <w:rsid w:val="004447C3"/>
    <w:rsid w:val="00446F99"/>
    <w:rsid w:val="00447693"/>
    <w:rsid w:val="00455BB6"/>
    <w:rsid w:val="00470C3E"/>
    <w:rsid w:val="004C2149"/>
    <w:rsid w:val="004E0C89"/>
    <w:rsid w:val="004F0775"/>
    <w:rsid w:val="00500AC9"/>
    <w:rsid w:val="005278F5"/>
    <w:rsid w:val="00532985"/>
    <w:rsid w:val="00535A13"/>
    <w:rsid w:val="005427E4"/>
    <w:rsid w:val="00544B23"/>
    <w:rsid w:val="00546871"/>
    <w:rsid w:val="0056092A"/>
    <w:rsid w:val="00580081"/>
    <w:rsid w:val="005A0F54"/>
    <w:rsid w:val="005D02A5"/>
    <w:rsid w:val="005D2F95"/>
    <w:rsid w:val="005D5044"/>
    <w:rsid w:val="005E66B7"/>
    <w:rsid w:val="0060175E"/>
    <w:rsid w:val="00627B30"/>
    <w:rsid w:val="00641578"/>
    <w:rsid w:val="00646D83"/>
    <w:rsid w:val="00647D01"/>
    <w:rsid w:val="0065155D"/>
    <w:rsid w:val="006576BC"/>
    <w:rsid w:val="00663DCC"/>
    <w:rsid w:val="006856E5"/>
    <w:rsid w:val="00697309"/>
    <w:rsid w:val="006A553A"/>
    <w:rsid w:val="006A58C3"/>
    <w:rsid w:val="006B0B93"/>
    <w:rsid w:val="006D4A52"/>
    <w:rsid w:val="006F28DE"/>
    <w:rsid w:val="007136AF"/>
    <w:rsid w:val="00727EA3"/>
    <w:rsid w:val="00731825"/>
    <w:rsid w:val="00751ADA"/>
    <w:rsid w:val="0079320E"/>
    <w:rsid w:val="007A17F1"/>
    <w:rsid w:val="007D22F5"/>
    <w:rsid w:val="007D6D71"/>
    <w:rsid w:val="007F607C"/>
    <w:rsid w:val="00817BDD"/>
    <w:rsid w:val="00827DEA"/>
    <w:rsid w:val="008352D8"/>
    <w:rsid w:val="00891B37"/>
    <w:rsid w:val="008A735E"/>
    <w:rsid w:val="008B5926"/>
    <w:rsid w:val="008C1895"/>
    <w:rsid w:val="008C2FB2"/>
    <w:rsid w:val="008D5936"/>
    <w:rsid w:val="008D7309"/>
    <w:rsid w:val="008F19E7"/>
    <w:rsid w:val="008F292B"/>
    <w:rsid w:val="008F5777"/>
    <w:rsid w:val="00912EC3"/>
    <w:rsid w:val="009141BB"/>
    <w:rsid w:val="009311FB"/>
    <w:rsid w:val="009419F0"/>
    <w:rsid w:val="00947AC3"/>
    <w:rsid w:val="009A1743"/>
    <w:rsid w:val="009A457D"/>
    <w:rsid w:val="009B4A73"/>
    <w:rsid w:val="009C24CA"/>
    <w:rsid w:val="009E2E49"/>
    <w:rsid w:val="009F1454"/>
    <w:rsid w:val="00A03958"/>
    <w:rsid w:val="00A12024"/>
    <w:rsid w:val="00A14E8E"/>
    <w:rsid w:val="00A15A91"/>
    <w:rsid w:val="00A45D48"/>
    <w:rsid w:val="00A57892"/>
    <w:rsid w:val="00A65073"/>
    <w:rsid w:val="00AA65B0"/>
    <w:rsid w:val="00AB118B"/>
    <w:rsid w:val="00AF2BAA"/>
    <w:rsid w:val="00B1456F"/>
    <w:rsid w:val="00B15AAF"/>
    <w:rsid w:val="00B42C2E"/>
    <w:rsid w:val="00B5530B"/>
    <w:rsid w:val="00B60EEE"/>
    <w:rsid w:val="00B62687"/>
    <w:rsid w:val="00B65D81"/>
    <w:rsid w:val="00B7558E"/>
    <w:rsid w:val="00B77CE0"/>
    <w:rsid w:val="00B809D8"/>
    <w:rsid w:val="00B90703"/>
    <w:rsid w:val="00B92277"/>
    <w:rsid w:val="00B924AA"/>
    <w:rsid w:val="00B93D31"/>
    <w:rsid w:val="00BA54A6"/>
    <w:rsid w:val="00BB5B28"/>
    <w:rsid w:val="00BC0905"/>
    <w:rsid w:val="00BD02A9"/>
    <w:rsid w:val="00BD654C"/>
    <w:rsid w:val="00BD6EC2"/>
    <w:rsid w:val="00C22906"/>
    <w:rsid w:val="00C30C1F"/>
    <w:rsid w:val="00C341F0"/>
    <w:rsid w:val="00C47B2D"/>
    <w:rsid w:val="00C50C13"/>
    <w:rsid w:val="00C57078"/>
    <w:rsid w:val="00CC37A7"/>
    <w:rsid w:val="00CD44CE"/>
    <w:rsid w:val="00CF4D3C"/>
    <w:rsid w:val="00D00304"/>
    <w:rsid w:val="00D27685"/>
    <w:rsid w:val="00D70AEC"/>
    <w:rsid w:val="00D75BF8"/>
    <w:rsid w:val="00D926E6"/>
    <w:rsid w:val="00DB2803"/>
    <w:rsid w:val="00DC560F"/>
    <w:rsid w:val="00DD3012"/>
    <w:rsid w:val="00DE5AD5"/>
    <w:rsid w:val="00E16E06"/>
    <w:rsid w:val="00E17A8E"/>
    <w:rsid w:val="00E23006"/>
    <w:rsid w:val="00E24EA4"/>
    <w:rsid w:val="00E27BEF"/>
    <w:rsid w:val="00E527B1"/>
    <w:rsid w:val="00E97885"/>
    <w:rsid w:val="00EA3FEE"/>
    <w:rsid w:val="00EA5FB8"/>
    <w:rsid w:val="00EB4510"/>
    <w:rsid w:val="00EB4639"/>
    <w:rsid w:val="00EB6B44"/>
    <w:rsid w:val="00EC1F46"/>
    <w:rsid w:val="00EE31C3"/>
    <w:rsid w:val="00EF3F6C"/>
    <w:rsid w:val="00F308B3"/>
    <w:rsid w:val="00F34513"/>
    <w:rsid w:val="00F37221"/>
    <w:rsid w:val="00F406C4"/>
    <w:rsid w:val="00F438B3"/>
    <w:rsid w:val="00F629F8"/>
    <w:rsid w:val="00F66806"/>
    <w:rsid w:val="00F77807"/>
    <w:rsid w:val="00F81476"/>
    <w:rsid w:val="00F8165A"/>
    <w:rsid w:val="00F827B1"/>
    <w:rsid w:val="00FB4975"/>
    <w:rsid w:val="00FD79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A805"/>
  <w15:chartTrackingRefBased/>
  <w15:docId w15:val="{2F841118-4948-486A-8AE2-B06A9E44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E8E"/>
    <w:pPr>
      <w:spacing w:after="0" w:line="240" w:lineRule="auto"/>
    </w:pPr>
    <w:rPr>
      <w:rFonts w:ascii="Calibri" w:eastAsiaTheme="minorEastAsia" w:hAnsi="Calibri"/>
      <w:kern w:val="0"/>
      <w:sz w:val="20"/>
      <w:lang w:val="en-US"/>
      <w14:ligatures w14:val="none"/>
    </w:rPr>
  </w:style>
  <w:style w:type="paragraph" w:styleId="Heading1">
    <w:name w:val="heading 1"/>
    <w:basedOn w:val="Normal"/>
    <w:next w:val="Normal"/>
    <w:link w:val="Heading1Char"/>
    <w:uiPriority w:val="9"/>
    <w:qFormat/>
    <w:rsid w:val="00AF2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BAA"/>
    <w:rPr>
      <w:rFonts w:eastAsiaTheme="majorEastAsia" w:cstheme="majorBidi"/>
      <w:color w:val="272727" w:themeColor="text1" w:themeTint="D8"/>
    </w:rPr>
  </w:style>
  <w:style w:type="paragraph" w:styleId="Title">
    <w:name w:val="Title"/>
    <w:basedOn w:val="Normal"/>
    <w:next w:val="Normal"/>
    <w:link w:val="TitleChar"/>
    <w:uiPriority w:val="10"/>
    <w:qFormat/>
    <w:rsid w:val="00AF2B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BAA"/>
    <w:pPr>
      <w:spacing w:before="160"/>
      <w:jc w:val="center"/>
    </w:pPr>
    <w:rPr>
      <w:i/>
      <w:iCs/>
      <w:color w:val="404040" w:themeColor="text1" w:themeTint="BF"/>
    </w:rPr>
  </w:style>
  <w:style w:type="character" w:customStyle="1" w:styleId="QuoteChar">
    <w:name w:val="Quote Char"/>
    <w:basedOn w:val="DefaultParagraphFont"/>
    <w:link w:val="Quote"/>
    <w:uiPriority w:val="29"/>
    <w:rsid w:val="00AF2BAA"/>
    <w:rPr>
      <w:i/>
      <w:iCs/>
      <w:color w:val="404040" w:themeColor="text1" w:themeTint="BF"/>
    </w:rPr>
  </w:style>
  <w:style w:type="paragraph" w:styleId="ListParagraph">
    <w:name w:val="List Paragraph"/>
    <w:basedOn w:val="Normal"/>
    <w:uiPriority w:val="34"/>
    <w:qFormat/>
    <w:rsid w:val="00AF2BAA"/>
    <w:pPr>
      <w:ind w:left="720"/>
      <w:contextualSpacing/>
    </w:pPr>
  </w:style>
  <w:style w:type="character" w:styleId="IntenseEmphasis">
    <w:name w:val="Intense Emphasis"/>
    <w:basedOn w:val="DefaultParagraphFont"/>
    <w:uiPriority w:val="21"/>
    <w:qFormat/>
    <w:rsid w:val="00AF2BAA"/>
    <w:rPr>
      <w:i/>
      <w:iCs/>
      <w:color w:val="0F4761" w:themeColor="accent1" w:themeShade="BF"/>
    </w:rPr>
  </w:style>
  <w:style w:type="paragraph" w:styleId="IntenseQuote">
    <w:name w:val="Intense Quote"/>
    <w:basedOn w:val="Normal"/>
    <w:next w:val="Normal"/>
    <w:link w:val="IntenseQuoteChar"/>
    <w:uiPriority w:val="30"/>
    <w:qFormat/>
    <w:rsid w:val="00AF2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BAA"/>
    <w:rPr>
      <w:i/>
      <w:iCs/>
      <w:color w:val="0F4761" w:themeColor="accent1" w:themeShade="BF"/>
    </w:rPr>
  </w:style>
  <w:style w:type="character" w:styleId="IntenseReference">
    <w:name w:val="Intense Reference"/>
    <w:basedOn w:val="DefaultParagraphFont"/>
    <w:uiPriority w:val="32"/>
    <w:qFormat/>
    <w:rsid w:val="00AF2BAA"/>
    <w:rPr>
      <w:b/>
      <w:bCs/>
      <w:smallCaps/>
      <w:color w:val="0F4761" w:themeColor="accent1" w:themeShade="BF"/>
      <w:spacing w:val="5"/>
    </w:rPr>
  </w:style>
  <w:style w:type="paragraph" w:customStyle="1" w:styleId="Default">
    <w:name w:val="Default"/>
    <w:rsid w:val="00AF2BAA"/>
    <w:pPr>
      <w:autoSpaceDE w:val="0"/>
      <w:autoSpaceDN w:val="0"/>
      <w:adjustRightInd w:val="0"/>
      <w:spacing w:after="0" w:line="240" w:lineRule="auto"/>
    </w:pPr>
    <w:rPr>
      <w:rFonts w:ascii="Calibri" w:hAnsi="Calibri" w:cs="Calibri"/>
      <w:color w:val="000000"/>
      <w:kern w:val="0"/>
    </w:rPr>
  </w:style>
  <w:style w:type="paragraph" w:styleId="CommentText">
    <w:name w:val="annotation text"/>
    <w:basedOn w:val="Normal"/>
    <w:link w:val="CommentTextChar"/>
    <w:uiPriority w:val="99"/>
    <w:semiHidden/>
    <w:unhideWhenUsed/>
    <w:rsid w:val="005427E4"/>
    <w:pPr>
      <w:spacing w:after="160"/>
    </w:pPr>
    <w:rPr>
      <w:rFonts w:asciiTheme="minorHAnsi" w:eastAsiaTheme="minorHAnsi" w:hAnsiTheme="minorHAnsi"/>
      <w:kern w:val="2"/>
      <w:szCs w:val="20"/>
      <w:lang w:val="en-AU"/>
      <w14:ligatures w14:val="standardContextual"/>
    </w:rPr>
  </w:style>
  <w:style w:type="character" w:customStyle="1" w:styleId="CommentTextChar">
    <w:name w:val="Comment Text Char"/>
    <w:basedOn w:val="DefaultParagraphFont"/>
    <w:link w:val="CommentText"/>
    <w:uiPriority w:val="99"/>
    <w:semiHidden/>
    <w:rsid w:val="005427E4"/>
    <w:rPr>
      <w:sz w:val="20"/>
      <w:szCs w:val="20"/>
    </w:rPr>
  </w:style>
  <w:style w:type="character" w:styleId="CommentReference">
    <w:name w:val="annotation reference"/>
    <w:basedOn w:val="DefaultParagraphFont"/>
    <w:uiPriority w:val="99"/>
    <w:semiHidden/>
    <w:unhideWhenUsed/>
    <w:rsid w:val="005427E4"/>
    <w:rPr>
      <w:sz w:val="16"/>
      <w:szCs w:val="16"/>
    </w:rPr>
  </w:style>
  <w:style w:type="paragraph" w:styleId="Revision">
    <w:name w:val="Revision"/>
    <w:hidden/>
    <w:uiPriority w:val="99"/>
    <w:semiHidden/>
    <w:rsid w:val="000E3AB1"/>
    <w:pPr>
      <w:spacing w:after="0" w:line="240" w:lineRule="auto"/>
    </w:pPr>
    <w:rPr>
      <w:rFonts w:ascii="Calibri" w:eastAsiaTheme="minorEastAsia" w:hAnsi="Calibri"/>
      <w:kern w:val="0"/>
      <w:sz w:val="20"/>
      <w:lang w:val="en-US"/>
      <w14:ligatures w14:val="none"/>
    </w:rPr>
  </w:style>
  <w:style w:type="character" w:styleId="Strong">
    <w:name w:val="Strong"/>
    <w:basedOn w:val="DefaultParagraphFont"/>
    <w:uiPriority w:val="22"/>
    <w:qFormat/>
    <w:rsid w:val="00DD3012"/>
    <w:rPr>
      <w:b/>
      <w:bCs/>
    </w:rPr>
  </w:style>
  <w:style w:type="paragraph" w:styleId="BodyText">
    <w:name w:val="Body Text"/>
    <w:basedOn w:val="Normal"/>
    <w:link w:val="BodyTextChar"/>
    <w:uiPriority w:val="99"/>
    <w:qFormat/>
    <w:rsid w:val="002C79AB"/>
    <w:pPr>
      <w:keepLines/>
      <w:spacing w:before="120" w:after="120"/>
      <w:jc w:val="both"/>
    </w:pPr>
    <w:rPr>
      <w:rFonts w:eastAsia="Times New Roman" w:cs="Times New Roman"/>
      <w:sz w:val="22"/>
      <w:szCs w:val="22"/>
      <w:lang w:val="en-AU" w:eastAsia="x-none"/>
    </w:rPr>
  </w:style>
  <w:style w:type="character" w:customStyle="1" w:styleId="BodyTextChar">
    <w:name w:val="Body Text Char"/>
    <w:basedOn w:val="DefaultParagraphFont"/>
    <w:link w:val="BodyText"/>
    <w:uiPriority w:val="99"/>
    <w:rsid w:val="002C79AB"/>
    <w:rPr>
      <w:rFonts w:ascii="Calibri" w:eastAsia="Times New Roman" w:hAnsi="Calibri" w:cs="Times New Roman"/>
      <w:kern w:val="0"/>
      <w:sz w:val="22"/>
      <w:szCs w:val="22"/>
      <w:lang w:eastAsia="x-none"/>
      <w14:ligatures w14:val="none"/>
    </w:rPr>
  </w:style>
  <w:style w:type="paragraph" w:styleId="FootnoteText">
    <w:name w:val="footnote text"/>
    <w:aliases w:val="Footnote Text Char Char3 Char,Footnote Text Char2 Char1 Char Char,Footnote Text Char Char Char1 Char Char,Footnote Text Char1 Char1 Char Char Char,Footnote Text Char1 Char Char Char Char Char1 Char1,Footnote Text Char1"/>
    <w:basedOn w:val="BodyText"/>
    <w:link w:val="FootnoteTextChar"/>
    <w:qFormat/>
    <w:rsid w:val="002C79AB"/>
    <w:pPr>
      <w:spacing w:before="60" w:after="0"/>
      <w:ind w:left="284" w:hanging="284"/>
    </w:pPr>
    <w:rPr>
      <w:sz w:val="20"/>
    </w:rPr>
  </w:style>
  <w:style w:type="character" w:customStyle="1" w:styleId="FootnoteTextChar">
    <w:name w:val="Footnote Text Char"/>
    <w:aliases w:val="Footnote Text Char Char3 Char Char,Footnote Text Char2 Char1 Char Char Char,Footnote Text Char Char Char1 Char Char Char,Footnote Text Char1 Char1 Char Char Char Char,Footnote Text Char1 Char Char Char Char Char1 Char1 Char"/>
    <w:basedOn w:val="DefaultParagraphFont"/>
    <w:link w:val="FootnoteText"/>
    <w:rsid w:val="002C79AB"/>
    <w:rPr>
      <w:rFonts w:ascii="Calibri" w:eastAsia="Times New Roman" w:hAnsi="Calibri" w:cs="Times New Roman"/>
      <w:kern w:val="0"/>
      <w:sz w:val="20"/>
      <w:szCs w:val="22"/>
      <w:lang w:eastAsia="x-none"/>
      <w14:ligatures w14:val="none"/>
    </w:rPr>
  </w:style>
  <w:style w:type="paragraph" w:styleId="ListBullet">
    <w:name w:val="List Bullet"/>
    <w:aliases w:val="List Bullet Char2,List Bullet Char2 Char"/>
    <w:basedOn w:val="BodyText"/>
    <w:link w:val="ListBulletChar"/>
    <w:qFormat/>
    <w:rsid w:val="002C79AB"/>
    <w:pPr>
      <w:keepLines w:val="0"/>
      <w:numPr>
        <w:numId w:val="10"/>
      </w:numPr>
      <w:tabs>
        <w:tab w:val="left" w:pos="567"/>
      </w:tabs>
      <w:ind w:left="567" w:hanging="567"/>
    </w:pPr>
    <w:rPr>
      <w:rFonts w:asciiTheme="minorHAnsi" w:hAnsiTheme="minorHAnsi"/>
      <w:color w:val="000000" w:themeColor="text1"/>
      <w:lang w:eastAsia="en-US"/>
    </w:rPr>
  </w:style>
  <w:style w:type="character" w:customStyle="1" w:styleId="ListBulletChar">
    <w:name w:val="List Bullet Char"/>
    <w:aliases w:val="List Bullet Char2 Char1,List Bullet Char2 Char Char"/>
    <w:link w:val="ListBullet"/>
    <w:rsid w:val="002C79AB"/>
    <w:rPr>
      <w:rFonts w:eastAsia="Times New Roman" w:cs="Times New Roman"/>
      <w:color w:val="000000" w:themeColor="text1"/>
      <w:kern w:val="0"/>
      <w:sz w:val="22"/>
      <w:szCs w:val="22"/>
      <w14:ligatures w14:val="none"/>
    </w:rPr>
  </w:style>
  <w:style w:type="character" w:styleId="FootnoteReference">
    <w:name w:val="footnote reference"/>
    <w:basedOn w:val="DefaultParagraphFont"/>
    <w:uiPriority w:val="99"/>
    <w:unhideWhenUsed/>
    <w:rsid w:val="002C79AB"/>
    <w:rPr>
      <w:vertAlign w:val="superscript"/>
    </w:rPr>
  </w:style>
  <w:style w:type="paragraph" w:customStyle="1" w:styleId="TableHeading">
    <w:name w:val="Table Heading"/>
    <w:basedOn w:val="Heading5"/>
    <w:link w:val="TableHeadingChar"/>
    <w:qFormat/>
    <w:rsid w:val="002C79AB"/>
    <w:pPr>
      <w:spacing w:before="120" w:after="120"/>
      <w:jc w:val="center"/>
      <w:outlineLvl w:val="9"/>
    </w:pPr>
    <w:rPr>
      <w:rFonts w:eastAsia="Times New Roman" w:cs="Times New Roman"/>
      <w:b/>
      <w:color w:val="auto"/>
      <w:sz w:val="22"/>
      <w:szCs w:val="22"/>
      <w:lang w:val="en-AU" w:eastAsia="x-none"/>
    </w:rPr>
  </w:style>
  <w:style w:type="character" w:customStyle="1" w:styleId="TableHeadingChar">
    <w:name w:val="Table Heading Char"/>
    <w:link w:val="TableHeading"/>
    <w:rsid w:val="002C79AB"/>
    <w:rPr>
      <w:rFonts w:ascii="Calibri" w:eastAsia="Times New Roman" w:hAnsi="Calibri" w:cs="Times New Roman"/>
      <w:b/>
      <w:kern w:val="0"/>
      <w:sz w:val="22"/>
      <w:szCs w:val="22"/>
      <w:lang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33361">
      <w:bodyDiv w:val="1"/>
      <w:marLeft w:val="0"/>
      <w:marRight w:val="0"/>
      <w:marTop w:val="0"/>
      <w:marBottom w:val="0"/>
      <w:divBdr>
        <w:top w:val="none" w:sz="0" w:space="0" w:color="auto"/>
        <w:left w:val="none" w:sz="0" w:space="0" w:color="auto"/>
        <w:bottom w:val="none" w:sz="0" w:space="0" w:color="auto"/>
        <w:right w:val="none" w:sz="0" w:space="0" w:color="auto"/>
      </w:divBdr>
    </w:div>
    <w:div w:id="920061781">
      <w:bodyDiv w:val="1"/>
      <w:marLeft w:val="0"/>
      <w:marRight w:val="0"/>
      <w:marTop w:val="0"/>
      <w:marBottom w:val="0"/>
      <w:divBdr>
        <w:top w:val="none" w:sz="0" w:space="0" w:color="auto"/>
        <w:left w:val="none" w:sz="0" w:space="0" w:color="auto"/>
        <w:bottom w:val="none" w:sz="0" w:space="0" w:color="auto"/>
        <w:right w:val="none" w:sz="0" w:space="0" w:color="auto"/>
      </w:divBdr>
    </w:div>
    <w:div w:id="1634218050">
      <w:bodyDiv w:val="1"/>
      <w:marLeft w:val="0"/>
      <w:marRight w:val="0"/>
      <w:marTop w:val="0"/>
      <w:marBottom w:val="0"/>
      <w:divBdr>
        <w:top w:val="none" w:sz="0" w:space="0" w:color="auto"/>
        <w:left w:val="none" w:sz="0" w:space="0" w:color="auto"/>
        <w:bottom w:val="none" w:sz="0" w:space="0" w:color="auto"/>
        <w:right w:val="none" w:sz="0" w:space="0" w:color="auto"/>
      </w:divBdr>
    </w:div>
    <w:div w:id="1717200866">
      <w:bodyDiv w:val="1"/>
      <w:marLeft w:val="0"/>
      <w:marRight w:val="0"/>
      <w:marTop w:val="0"/>
      <w:marBottom w:val="0"/>
      <w:divBdr>
        <w:top w:val="none" w:sz="0" w:space="0" w:color="auto"/>
        <w:left w:val="none" w:sz="0" w:space="0" w:color="auto"/>
        <w:bottom w:val="none" w:sz="0" w:space="0" w:color="auto"/>
        <w:right w:val="none" w:sz="0" w:space="0" w:color="auto"/>
      </w:divBdr>
    </w:div>
    <w:div w:id="1733235897">
      <w:bodyDiv w:val="1"/>
      <w:marLeft w:val="0"/>
      <w:marRight w:val="0"/>
      <w:marTop w:val="0"/>
      <w:marBottom w:val="0"/>
      <w:divBdr>
        <w:top w:val="none" w:sz="0" w:space="0" w:color="auto"/>
        <w:left w:val="none" w:sz="0" w:space="0" w:color="auto"/>
        <w:bottom w:val="none" w:sz="0" w:space="0" w:color="auto"/>
        <w:right w:val="none" w:sz="0" w:space="0" w:color="auto"/>
      </w:divBdr>
    </w:div>
    <w:div w:id="192009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o.gov.au/about-ato/commitments-and-reporting/ato-charter/our-char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ooffice.sharepoint.com/sites/AboutTheATO/SitePages/Good-decision-making-model.aspx?web=1" TargetMode="External"/><Relationship Id="rId5" Type="http://schemas.openxmlformats.org/officeDocument/2006/relationships/footnotes" Target="footnotes.xml"/><Relationship Id="rId10" Type="http://schemas.openxmlformats.org/officeDocument/2006/relationships/hyperlink" Target="https://atooffice.sharepoint.com/sites/AboutTheATO/SitePages/Good-decision-making-model.aspx?web=1" TargetMode="External"/><Relationship Id="rId4" Type="http://schemas.openxmlformats.org/officeDocument/2006/relationships/webSettings" Target="webSettings.xml"/><Relationship Id="rId9" Type="http://schemas.openxmlformats.org/officeDocument/2006/relationships/hyperlink" Target="https://www.ato.gov.au/about-ato/managing-the-tax-and-super-system/strategic-direction/how-we-help-and-influence-taxpayers/complianc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Count</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Housakos</dc:creator>
  <cp:keywords/>
  <dc:description/>
  <cp:lastModifiedBy>George Housakos</cp:lastModifiedBy>
  <cp:revision>2</cp:revision>
  <cp:lastPrinted>2024-10-28T06:25:00Z</cp:lastPrinted>
  <dcterms:created xsi:type="dcterms:W3CDTF">2025-02-25T04:04:00Z</dcterms:created>
  <dcterms:modified xsi:type="dcterms:W3CDTF">2025-02-25T04:04:00Z</dcterms:modified>
</cp:coreProperties>
</file>