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2612" w14:textId="77777777" w:rsidR="00137A29" w:rsidRPr="00137A29" w:rsidRDefault="00137A29" w:rsidP="00137A29">
      <w:pPr>
        <w:rPr>
          <w:b/>
          <w:bCs/>
          <w:sz w:val="32"/>
          <w:szCs w:val="32"/>
        </w:rPr>
      </w:pPr>
      <w:r w:rsidRPr="00137A29">
        <w:rPr>
          <w:b/>
          <w:bCs/>
          <w:sz w:val="32"/>
          <w:szCs w:val="32"/>
        </w:rPr>
        <w:t>Annotated Bibliography: Data Breach Notification Laws in Southeast Asia</w:t>
      </w:r>
    </w:p>
    <w:p w14:paraId="35696338" w14:textId="287416E2" w:rsidR="00137A29" w:rsidRPr="00137A29" w:rsidRDefault="00137A29" w:rsidP="00137A29">
      <w:pPr>
        <w:numPr>
          <w:ilvl w:val="0"/>
          <w:numId w:val="1"/>
        </w:numPr>
        <w:jc w:val="both"/>
        <w:rPr>
          <w:sz w:val="20"/>
          <w:szCs w:val="20"/>
        </w:rPr>
      </w:pPr>
      <w:r w:rsidRPr="00137A29">
        <w:rPr>
          <w:b/>
          <w:bCs/>
          <w:sz w:val="20"/>
          <w:szCs w:val="20"/>
        </w:rPr>
        <w:t>Lim, C. K., Alfred, D. N., &amp; Chen, A. S.-A. (2025, October 14).</w:t>
      </w:r>
      <w:r w:rsidRPr="00137A29">
        <w:rPr>
          <w:sz w:val="20"/>
          <w:szCs w:val="20"/>
        </w:rPr>
        <w:t xml:space="preserve"> </w:t>
      </w:r>
      <w:r w:rsidRPr="00137A29">
        <w:rPr>
          <w:b/>
          <w:bCs/>
          <w:sz w:val="20"/>
          <w:szCs w:val="20"/>
        </w:rPr>
        <w:t>Unlocking Asia’s data protection landscape: essential insights on breach notifications and cybersecurity obligations.</w:t>
      </w:r>
      <w:r w:rsidRPr="00137A29">
        <w:rPr>
          <w:sz w:val="20"/>
          <w:szCs w:val="20"/>
        </w:rPr>
        <w:t xml:space="preserve"> Global Investigations Review. This comprehensive guide surveys data protection and cybersecurity laws across Asia, noting that jurisdictions in Southeast Asia are at different maturity levels – for example, Malaysia has just introduced mandatory breach notification requirements while Cambodia still has no breach-notification law</w:t>
      </w:r>
      <w:r w:rsidR="0077322B">
        <w:rPr>
          <w:sz w:val="20"/>
          <w:szCs w:val="20"/>
        </w:rPr>
        <w:t xml:space="preserve"> </w:t>
      </w:r>
      <w:hyperlink r:id="rId5" w:anchor=":~:text=While%20the%20region%20is%20broadly,Asian%20markets%20such%20as%20China" w:tgtFrame="_blank" w:history="1">
        <w:r w:rsidRPr="00137A29">
          <w:rPr>
            <w:rStyle w:val="Hyperlink"/>
            <w:color w:val="auto"/>
            <w:sz w:val="20"/>
            <w:szCs w:val="20"/>
          </w:rPr>
          <w:t>globalinvestigationsreview.com</w:t>
        </w:r>
      </w:hyperlink>
      <w:r w:rsidRPr="00137A29">
        <w:rPr>
          <w:sz w:val="20"/>
          <w:szCs w:val="20"/>
        </w:rPr>
        <w:t>. It is highly relevant for understanding each ASEAN country’s current disclosure obligations.</w:t>
      </w:r>
    </w:p>
    <w:p w14:paraId="27103DA7" w14:textId="089EA409" w:rsidR="00137A29" w:rsidRPr="00137A29" w:rsidRDefault="00137A29" w:rsidP="00137A29">
      <w:pPr>
        <w:numPr>
          <w:ilvl w:val="0"/>
          <w:numId w:val="1"/>
        </w:numPr>
        <w:jc w:val="both"/>
        <w:rPr>
          <w:sz w:val="20"/>
          <w:szCs w:val="20"/>
        </w:rPr>
      </w:pPr>
      <w:proofErr w:type="spellStart"/>
      <w:r w:rsidRPr="00137A29">
        <w:rPr>
          <w:b/>
          <w:bCs/>
          <w:sz w:val="20"/>
          <w:szCs w:val="20"/>
        </w:rPr>
        <w:t>Sholehuddin</w:t>
      </w:r>
      <w:proofErr w:type="spellEnd"/>
      <w:r w:rsidRPr="00137A29">
        <w:rPr>
          <w:b/>
          <w:bCs/>
          <w:sz w:val="20"/>
          <w:szCs w:val="20"/>
        </w:rPr>
        <w:t xml:space="preserve">, N., </w:t>
      </w:r>
      <w:proofErr w:type="spellStart"/>
      <w:r w:rsidRPr="00137A29">
        <w:rPr>
          <w:b/>
          <w:bCs/>
          <w:sz w:val="20"/>
          <w:szCs w:val="20"/>
        </w:rPr>
        <w:t>Miskam</w:t>
      </w:r>
      <w:proofErr w:type="spellEnd"/>
      <w:r w:rsidRPr="00137A29">
        <w:rPr>
          <w:b/>
          <w:bCs/>
          <w:sz w:val="20"/>
          <w:szCs w:val="20"/>
        </w:rPr>
        <w:t>, S., Shahwahid, F. M., Abdul Aziz, T. N. R., &amp; Mansor, N. (2024). A Comparative Legal Analysis on Personal Data Protection Laws in Selected ASEAN Countries.</w:t>
      </w:r>
      <w:r w:rsidRPr="00137A29">
        <w:rPr>
          <w:sz w:val="20"/>
          <w:szCs w:val="20"/>
        </w:rPr>
        <w:t xml:space="preserve"> Journal of </w:t>
      </w:r>
      <w:proofErr w:type="spellStart"/>
      <w:r w:rsidRPr="00137A29">
        <w:rPr>
          <w:sz w:val="20"/>
          <w:szCs w:val="20"/>
        </w:rPr>
        <w:t>Muwafaqat</w:t>
      </w:r>
      <w:proofErr w:type="spellEnd"/>
      <w:r w:rsidRPr="00137A29">
        <w:rPr>
          <w:sz w:val="20"/>
          <w:szCs w:val="20"/>
        </w:rPr>
        <w:t>, 7(1), 23–38. This peer-reviewed study compares Malaysia, Indonesia, Singapore, and the Philippines. It finds that Singapore and the Philippines legally require breach notifications to regulators (and, for large breaches, to affected individuals), whereas Malaysia’s existing PDPA does not mandate reporting breaches to authorities</w:t>
      </w:r>
      <w:r w:rsidR="0077322B">
        <w:rPr>
          <w:sz w:val="20"/>
          <w:szCs w:val="20"/>
        </w:rPr>
        <w:t xml:space="preserve"> </w:t>
      </w:r>
      <w:hyperlink r:id="rId6" w:anchor=":~:text=Data%20%20breach%20%20notifications,and%20%20the%20Philippines%20differ" w:tgtFrame="_blank" w:history="1">
        <w:r w:rsidRPr="00137A29">
          <w:rPr>
            <w:rStyle w:val="Hyperlink"/>
            <w:color w:val="auto"/>
            <w:sz w:val="20"/>
            <w:szCs w:val="20"/>
          </w:rPr>
          <w:t>researchgate.net</w:t>
        </w:r>
      </w:hyperlink>
      <w:hyperlink r:id="rId7" w:anchor=":~:text=Guide%20in%20%20Singapore%20necessitates,the%20PDPC%20or%20affected%20individuals" w:tgtFrame="_blank" w:history="1">
        <w:r w:rsidRPr="00137A29">
          <w:rPr>
            <w:rStyle w:val="Hyperlink"/>
            <w:color w:val="auto"/>
            <w:sz w:val="20"/>
            <w:szCs w:val="20"/>
          </w:rPr>
          <w:t>researchgate.net</w:t>
        </w:r>
      </w:hyperlink>
      <w:r w:rsidRPr="00137A29">
        <w:rPr>
          <w:sz w:val="20"/>
          <w:szCs w:val="20"/>
        </w:rPr>
        <w:t>. The article’s comparative tables and analysis make it directly relevant for seeing how ASEAN breach laws align or differ.</w:t>
      </w:r>
    </w:p>
    <w:p w14:paraId="3519EF22" w14:textId="4907AF22" w:rsidR="00137A29" w:rsidRPr="00137A29" w:rsidRDefault="00137A29" w:rsidP="00137A29">
      <w:pPr>
        <w:numPr>
          <w:ilvl w:val="0"/>
          <w:numId w:val="1"/>
        </w:numPr>
        <w:jc w:val="both"/>
        <w:rPr>
          <w:sz w:val="20"/>
          <w:szCs w:val="20"/>
        </w:rPr>
      </w:pPr>
      <w:proofErr w:type="spellStart"/>
      <w:r w:rsidRPr="00137A29">
        <w:rPr>
          <w:b/>
          <w:bCs/>
          <w:sz w:val="20"/>
          <w:szCs w:val="20"/>
        </w:rPr>
        <w:t>Tilleke</w:t>
      </w:r>
      <w:proofErr w:type="spellEnd"/>
      <w:r w:rsidRPr="00137A29">
        <w:rPr>
          <w:b/>
          <w:bCs/>
          <w:sz w:val="20"/>
          <w:szCs w:val="20"/>
        </w:rPr>
        <w:t xml:space="preserve"> &amp; Gibbins (2023, Aug. 31). Responding to a Data Breach in Southeast Asia (insights summary). This </w:t>
      </w:r>
      <w:proofErr w:type="gramStart"/>
      <w:r w:rsidRPr="00137A29">
        <w:rPr>
          <w:b/>
          <w:bCs/>
          <w:sz w:val="20"/>
          <w:szCs w:val="20"/>
        </w:rPr>
        <w:t>law-firm</w:t>
      </w:r>
      <w:proofErr w:type="gramEnd"/>
      <w:r w:rsidRPr="00137A29">
        <w:rPr>
          <w:b/>
          <w:bCs/>
          <w:sz w:val="20"/>
          <w:szCs w:val="20"/>
        </w:rPr>
        <w:t xml:space="preserve"> guide provides a quick checklist by country.</w:t>
      </w:r>
      <w:r w:rsidRPr="00137A29">
        <w:rPr>
          <w:sz w:val="20"/>
          <w:szCs w:val="20"/>
        </w:rPr>
        <w:t xml:space="preserve"> It confirms that Cambodia, Laos, and Myanmar have no legal breach-notification obligations at present, while Thailand’s PDPA requires notifying its new Personal Data Protection Committee and Vietnam’s law mandates alerting VNCERT and other authorities in a breach</w:t>
      </w:r>
      <w:r w:rsidR="0077322B">
        <w:rPr>
          <w:sz w:val="20"/>
          <w:szCs w:val="20"/>
        </w:rPr>
        <w:t xml:space="preserve"> </w:t>
      </w:r>
      <w:hyperlink r:id="rId8" w:anchor=":~:text=Cambodia%20No,and%20under%20some%20specific%20laws%E2%80%94none" w:tgtFrame="_blank" w:history="1">
        <w:r w:rsidRPr="00137A29">
          <w:rPr>
            <w:rStyle w:val="Hyperlink"/>
            <w:color w:val="auto"/>
            <w:sz w:val="20"/>
            <w:szCs w:val="20"/>
          </w:rPr>
          <w:t>tilleke.com</w:t>
        </w:r>
      </w:hyperlink>
      <w:hyperlink r:id="rId9" w:anchor=":~:text=Thailand%20Yes,Vietnam%20Computer%20Emergency%20Response%20Team" w:tgtFrame="_blank" w:history="1">
        <w:r w:rsidRPr="00137A29">
          <w:rPr>
            <w:rStyle w:val="Hyperlink"/>
            <w:color w:val="auto"/>
            <w:sz w:val="20"/>
            <w:szCs w:val="20"/>
          </w:rPr>
          <w:t>tilleke.com</w:t>
        </w:r>
      </w:hyperlink>
      <w:r w:rsidRPr="00137A29">
        <w:rPr>
          <w:sz w:val="20"/>
          <w:szCs w:val="20"/>
        </w:rPr>
        <w:t>. This source is useful for practitioners to compare country requirements and is current as of mid-2023.</w:t>
      </w:r>
    </w:p>
    <w:p w14:paraId="3EF7BF6C" w14:textId="46D6783A" w:rsidR="00137A29" w:rsidRPr="00137A29" w:rsidRDefault="00137A29" w:rsidP="00137A29">
      <w:pPr>
        <w:numPr>
          <w:ilvl w:val="0"/>
          <w:numId w:val="1"/>
        </w:numPr>
        <w:jc w:val="both"/>
        <w:rPr>
          <w:sz w:val="20"/>
          <w:szCs w:val="20"/>
        </w:rPr>
      </w:pPr>
      <w:proofErr w:type="spellStart"/>
      <w:r w:rsidRPr="00137A29">
        <w:rPr>
          <w:b/>
          <w:bCs/>
          <w:sz w:val="20"/>
          <w:szCs w:val="20"/>
        </w:rPr>
        <w:t>Shivhare</w:t>
      </w:r>
      <w:proofErr w:type="spellEnd"/>
      <w:r w:rsidRPr="00137A29">
        <w:rPr>
          <w:b/>
          <w:bCs/>
          <w:sz w:val="20"/>
          <w:szCs w:val="20"/>
        </w:rPr>
        <w:t>, S. (2025, July 6). Malaysia Charts Its Digital Course: A Guide to the New Frameworks for Data Protection and AI Ethics. Future of Privacy Forum (blog).</w:t>
      </w:r>
      <w:r w:rsidRPr="00137A29">
        <w:rPr>
          <w:sz w:val="20"/>
          <w:szCs w:val="20"/>
        </w:rPr>
        <w:t xml:space="preserve"> This FPF commentary explains Malaysia’s forthcoming PDPA amendments (effective mid-2025). It highlights that for the first time Malaysia will impose mandatory data breach notification, aligning with GDPR-style rules</w:t>
      </w:r>
      <w:r w:rsidR="0077322B">
        <w:rPr>
          <w:sz w:val="20"/>
          <w:szCs w:val="20"/>
        </w:rPr>
        <w:t xml:space="preserve"> </w:t>
      </w:r>
      <w:hyperlink r:id="rId10" w:anchor=":~:text=,border%20data%20transfer%20regime" w:tgtFrame="_blank" w:history="1">
        <w:r w:rsidRPr="00137A29">
          <w:rPr>
            <w:rStyle w:val="Hyperlink"/>
            <w:color w:val="auto"/>
            <w:sz w:val="20"/>
            <w:szCs w:val="20"/>
          </w:rPr>
          <w:t>fpf.org</w:t>
        </w:r>
      </w:hyperlink>
      <w:r w:rsidRPr="00137A29">
        <w:rPr>
          <w:sz w:val="20"/>
          <w:szCs w:val="20"/>
        </w:rPr>
        <w:t>. The entry is relevant as it details upcoming Malaysian law changes (including breach obligations) and their alignment with global standards.</w:t>
      </w:r>
    </w:p>
    <w:p w14:paraId="4177646E" w14:textId="2CCF30D9" w:rsidR="00137A29" w:rsidRPr="00137A29" w:rsidRDefault="00137A29" w:rsidP="00137A29">
      <w:pPr>
        <w:numPr>
          <w:ilvl w:val="0"/>
          <w:numId w:val="1"/>
        </w:numPr>
        <w:jc w:val="both"/>
        <w:rPr>
          <w:sz w:val="20"/>
          <w:szCs w:val="20"/>
        </w:rPr>
      </w:pPr>
      <w:r w:rsidRPr="00137A29">
        <w:rPr>
          <w:b/>
          <w:bCs/>
          <w:sz w:val="20"/>
          <w:szCs w:val="20"/>
        </w:rPr>
        <w:t>Jonette, P. (2024, Sept. 19). Malaysia’s PDPA amendments: Delivering enhanced data governance and transparency. IAPP News</w:t>
      </w:r>
      <w:r w:rsidRPr="00137A29">
        <w:rPr>
          <w:sz w:val="20"/>
          <w:szCs w:val="20"/>
        </w:rPr>
        <w:t>. This expert commentary reviews Malaysia’s 2024 PDPA reforms. It emphasizes that the amendments introduce a 72-hour mandatory data breach notification requirement, making Malaysia’s law comparable to international norms like the EU GDPR</w:t>
      </w:r>
      <w:r w:rsidR="0077322B">
        <w:rPr>
          <w:sz w:val="20"/>
          <w:szCs w:val="20"/>
        </w:rPr>
        <w:t xml:space="preserve"> </w:t>
      </w:r>
      <w:hyperlink r:id="rId11" w:anchor=":~:text=Mandatory%20breach%20notification,becoming%20aware%20of%20the%20breach" w:tgtFrame="_blank" w:history="1">
        <w:r w:rsidRPr="00137A29">
          <w:rPr>
            <w:rStyle w:val="Hyperlink"/>
            <w:color w:val="auto"/>
            <w:sz w:val="20"/>
            <w:szCs w:val="20"/>
          </w:rPr>
          <w:t>iapp.org</w:t>
        </w:r>
      </w:hyperlink>
      <w:r w:rsidRPr="00137A29">
        <w:rPr>
          <w:sz w:val="20"/>
          <w:szCs w:val="20"/>
        </w:rPr>
        <w:t>. It places Southeast Asian developments in context by noting peer ASEAN countries’ recent data law changes.</w:t>
      </w:r>
    </w:p>
    <w:p w14:paraId="1C54B3C5" w14:textId="20FC37DE" w:rsidR="00137A29" w:rsidRPr="00137A29" w:rsidRDefault="00137A29" w:rsidP="00137A29">
      <w:pPr>
        <w:numPr>
          <w:ilvl w:val="0"/>
          <w:numId w:val="1"/>
        </w:numPr>
        <w:jc w:val="both"/>
        <w:rPr>
          <w:sz w:val="20"/>
          <w:szCs w:val="20"/>
        </w:rPr>
      </w:pPr>
      <w:r w:rsidRPr="00137A29">
        <w:rPr>
          <w:b/>
          <w:bCs/>
          <w:sz w:val="20"/>
          <w:szCs w:val="20"/>
        </w:rPr>
        <w:t>Future of Privacy Forum (2024). Asia-Pacific DPA Strategies and Priorities Issue Brief. This industry report surveys Asia-Pacific data protection authorities.</w:t>
      </w:r>
      <w:r w:rsidRPr="00137A29">
        <w:rPr>
          <w:sz w:val="20"/>
          <w:szCs w:val="20"/>
        </w:rPr>
        <w:t xml:space="preserve"> It notes that 90% of APAC regulators now list cybersecurity and breach response as top priorities</w:t>
      </w:r>
      <w:r w:rsidR="0077322B">
        <w:rPr>
          <w:sz w:val="20"/>
          <w:szCs w:val="20"/>
        </w:rPr>
        <w:t xml:space="preserve">  </w:t>
      </w:r>
      <w:hyperlink r:id="rId12" w:anchor=":~:text=%E2%97%8F%20Cybersecurity%20and%20data%20breach,This" w:tgtFrame="_blank" w:history="1">
        <w:r w:rsidRPr="00137A29">
          <w:rPr>
            <w:rStyle w:val="Hyperlink"/>
            <w:color w:val="auto"/>
            <w:sz w:val="20"/>
            <w:szCs w:val="20"/>
          </w:rPr>
          <w:t>fpf.org</w:t>
        </w:r>
      </w:hyperlink>
      <w:r w:rsidRPr="00137A29">
        <w:rPr>
          <w:sz w:val="20"/>
          <w:szCs w:val="20"/>
        </w:rPr>
        <w:t>. Many already have (or are building) mandatory breach-notification schemes; for example, Hong Kong and Malaysia are still finalizing theirs</w:t>
      </w:r>
      <w:r w:rsidR="0077322B">
        <w:rPr>
          <w:sz w:val="20"/>
          <w:szCs w:val="20"/>
        </w:rPr>
        <w:t xml:space="preserve"> </w:t>
      </w:r>
      <w:hyperlink r:id="rId13" w:anchor=":~:text=established%20mandatory%20data%20breach%20notification,developing%20or%20implementing%20such%20requirements" w:tgtFrame="_blank" w:history="1">
        <w:r w:rsidRPr="00137A29">
          <w:rPr>
            <w:rStyle w:val="Hyperlink"/>
            <w:color w:val="auto"/>
            <w:sz w:val="20"/>
            <w:szCs w:val="20"/>
          </w:rPr>
          <w:t>fpf.org</w:t>
        </w:r>
      </w:hyperlink>
      <w:r w:rsidRPr="00137A29">
        <w:rPr>
          <w:sz w:val="20"/>
          <w:szCs w:val="20"/>
        </w:rPr>
        <w:t>. The report thus indicates an emerging trend: regional regulators are beefing up enforcement and transparency around breaches.</w:t>
      </w:r>
    </w:p>
    <w:p w14:paraId="78813DF1" w14:textId="06F8088F" w:rsidR="00137A29" w:rsidRPr="00137A29" w:rsidRDefault="00137A29" w:rsidP="00137A29">
      <w:pPr>
        <w:numPr>
          <w:ilvl w:val="0"/>
          <w:numId w:val="1"/>
        </w:numPr>
        <w:jc w:val="both"/>
        <w:rPr>
          <w:sz w:val="20"/>
          <w:szCs w:val="20"/>
        </w:rPr>
      </w:pPr>
      <w:r w:rsidRPr="00137A29">
        <w:rPr>
          <w:b/>
          <w:bCs/>
          <w:sz w:val="20"/>
          <w:szCs w:val="20"/>
        </w:rPr>
        <w:lastRenderedPageBreak/>
        <w:t>Personal Data Protection Commission Singapore (2025). Singapore’s Data Breach Landscape 2023/24 (report).</w:t>
      </w:r>
      <w:r w:rsidRPr="00137A29">
        <w:rPr>
          <w:sz w:val="20"/>
          <w:szCs w:val="20"/>
        </w:rPr>
        <w:t xml:space="preserve"> The official PDPC annual report shows breach trends in Singapore. For instance, it documents a 41% year-on-year increase in large-scale breaches reported to PDPC</w:t>
      </w:r>
      <w:r w:rsidR="0077322B">
        <w:rPr>
          <w:sz w:val="20"/>
          <w:szCs w:val="20"/>
        </w:rPr>
        <w:t xml:space="preserve"> </w:t>
      </w:r>
      <w:hyperlink r:id="rId14" w:anchor=":~:text=DATA%20BREACHES%20ON%20THE%20RISE,41" w:tgtFrame="_blank" w:history="1">
        <w:r w:rsidRPr="00137A29">
          <w:rPr>
            <w:rStyle w:val="Hyperlink"/>
            <w:color w:val="auto"/>
            <w:sz w:val="20"/>
            <w:szCs w:val="20"/>
          </w:rPr>
          <w:t>pdpc.gov.sg</w:t>
        </w:r>
      </w:hyperlink>
      <w:r w:rsidRPr="00137A29">
        <w:rPr>
          <w:sz w:val="20"/>
          <w:szCs w:val="20"/>
        </w:rPr>
        <w:t>. This authoritative source illustrates the growing breach risk in practice and PDPC’s enforcement focus, and it exemplifies Singapore’s public tracking of breach incidents.</w:t>
      </w:r>
    </w:p>
    <w:p w14:paraId="11323B4B" w14:textId="148B5DBB" w:rsidR="00137A29" w:rsidRPr="00137A29" w:rsidRDefault="00137A29" w:rsidP="00137A29">
      <w:pPr>
        <w:numPr>
          <w:ilvl w:val="0"/>
          <w:numId w:val="1"/>
        </w:numPr>
        <w:jc w:val="both"/>
        <w:rPr>
          <w:sz w:val="20"/>
          <w:szCs w:val="20"/>
        </w:rPr>
      </w:pPr>
      <w:proofErr w:type="spellStart"/>
      <w:r w:rsidRPr="00137A29">
        <w:rPr>
          <w:b/>
          <w:bCs/>
          <w:sz w:val="20"/>
          <w:szCs w:val="20"/>
        </w:rPr>
        <w:t>Wachirapornpruet</w:t>
      </w:r>
      <w:proofErr w:type="spellEnd"/>
      <w:r w:rsidRPr="00137A29">
        <w:rPr>
          <w:b/>
          <w:bCs/>
          <w:sz w:val="20"/>
          <w:szCs w:val="20"/>
        </w:rPr>
        <w:t>, P. (2024). Mind the Gap: How Southeast Asia’s fragmented personal data rules impact digital finance. Asia House.</w:t>
      </w:r>
      <w:r w:rsidRPr="00137A29">
        <w:rPr>
          <w:sz w:val="20"/>
          <w:szCs w:val="20"/>
        </w:rPr>
        <w:t xml:space="preserve"> This policy report examines how inconsistent data laws across ASEAN create compliance and security gaps. It observes that even in Indonesia (which mandates local data hosting), major breaches still occur – e.g. a 2023 cyberattack on a local bank – suggesting that fragmented regulations have not ensured better protection</w:t>
      </w:r>
      <w:r w:rsidR="0077322B">
        <w:rPr>
          <w:sz w:val="20"/>
          <w:szCs w:val="20"/>
        </w:rPr>
        <w:t xml:space="preserve">  </w:t>
      </w:r>
      <w:hyperlink r:id="rId15" w:anchor=":~:text=To%20illustrate%2C%20Indonesia%20is%20a,security%20in%20order%20to%20mitigate" w:tgtFrame="_blank" w:history="1">
        <w:r w:rsidRPr="00137A29">
          <w:rPr>
            <w:rStyle w:val="Hyperlink"/>
            <w:color w:val="auto"/>
            <w:sz w:val="20"/>
            <w:szCs w:val="20"/>
          </w:rPr>
          <w:t>asiahouse.org</w:t>
        </w:r>
      </w:hyperlink>
      <w:r w:rsidRPr="00137A29">
        <w:rPr>
          <w:sz w:val="20"/>
          <w:szCs w:val="20"/>
        </w:rPr>
        <w:t>. This source is useful for understanding how regulatory fragmentation (including patchwork breach rules) poses ongoing challenges in the region.</w:t>
      </w:r>
    </w:p>
    <w:p w14:paraId="4F195FB9" w14:textId="0274E648" w:rsidR="00137A29" w:rsidRPr="00137A29" w:rsidRDefault="00137A29" w:rsidP="00137A29">
      <w:pPr>
        <w:jc w:val="both"/>
        <w:rPr>
          <w:sz w:val="20"/>
          <w:szCs w:val="20"/>
        </w:rPr>
      </w:pPr>
      <w:r w:rsidRPr="00137A29">
        <w:rPr>
          <w:b/>
          <w:bCs/>
          <w:sz w:val="20"/>
          <w:szCs w:val="20"/>
        </w:rPr>
        <w:t>Official Data Breach Reporting Websites (Southeast Asia):</w:t>
      </w:r>
      <w:r w:rsidRPr="00137A29">
        <w:rPr>
          <w:sz w:val="20"/>
          <w:szCs w:val="20"/>
        </w:rPr>
        <w:t xml:space="preserve"> Beyond scholarly sources, each country’s data authority provides reporting portals or notices about breaches. For example, Singapore’s Personal Data Protection Commission (PDPC) website offers a </w:t>
      </w:r>
      <w:r w:rsidRPr="00137A29">
        <w:rPr>
          <w:b/>
          <w:bCs/>
          <w:sz w:val="20"/>
          <w:szCs w:val="20"/>
        </w:rPr>
        <w:t xml:space="preserve">“Report Your </w:t>
      </w:r>
      <w:proofErr w:type="spellStart"/>
      <w:r w:rsidRPr="00137A29">
        <w:rPr>
          <w:b/>
          <w:bCs/>
          <w:sz w:val="20"/>
          <w:szCs w:val="20"/>
        </w:rPr>
        <w:t>Organisation’s</w:t>
      </w:r>
      <w:proofErr w:type="spellEnd"/>
      <w:r w:rsidRPr="00137A29">
        <w:rPr>
          <w:b/>
          <w:bCs/>
          <w:sz w:val="20"/>
          <w:szCs w:val="20"/>
        </w:rPr>
        <w:t xml:space="preserve"> Data Breach”</w:t>
      </w:r>
      <w:r w:rsidRPr="00137A29">
        <w:rPr>
          <w:sz w:val="20"/>
          <w:szCs w:val="20"/>
        </w:rPr>
        <w:t xml:space="preserve"> portal for filings</w:t>
      </w:r>
      <w:r w:rsidR="0077322B">
        <w:rPr>
          <w:sz w:val="20"/>
          <w:szCs w:val="20"/>
        </w:rPr>
        <w:t xml:space="preserve"> </w:t>
      </w:r>
      <w:hyperlink r:id="rId16" w:anchor=":~:text=,52" w:tgtFrame="_blank" w:history="1">
        <w:r w:rsidRPr="00137A29">
          <w:rPr>
            <w:rStyle w:val="Hyperlink"/>
            <w:color w:val="auto"/>
            <w:sz w:val="20"/>
            <w:szCs w:val="20"/>
          </w:rPr>
          <w:t>pdpc.gov.sg</w:t>
        </w:r>
      </w:hyperlink>
      <w:r w:rsidRPr="00137A29">
        <w:rPr>
          <w:sz w:val="20"/>
          <w:szCs w:val="20"/>
        </w:rPr>
        <w:t xml:space="preserve"> and publishes annual breach reports</w:t>
      </w:r>
      <w:r w:rsidR="0077322B">
        <w:rPr>
          <w:sz w:val="20"/>
          <w:szCs w:val="20"/>
        </w:rPr>
        <w:t xml:space="preserve"> </w:t>
      </w:r>
      <w:hyperlink r:id="rId17" w:anchor=":~:text=DATA%20BREACHES%20ON%20THE%20RISE,41" w:tgtFrame="_blank" w:history="1">
        <w:r w:rsidRPr="00137A29">
          <w:rPr>
            <w:rStyle w:val="Hyperlink"/>
            <w:color w:val="auto"/>
            <w:sz w:val="20"/>
            <w:szCs w:val="20"/>
          </w:rPr>
          <w:t>pdpc.gov.sg</w:t>
        </w:r>
      </w:hyperlink>
      <w:r w:rsidRPr="00137A29">
        <w:rPr>
          <w:sz w:val="20"/>
          <w:szCs w:val="20"/>
        </w:rPr>
        <w:t>. Malaysia’s Personal Data Protection Department (JPDP) site includes guidelines and an online “Lapor DBN” (Breach Notification) form for data breach reports</w:t>
      </w:r>
      <w:r w:rsidR="0077322B">
        <w:rPr>
          <w:sz w:val="20"/>
          <w:szCs w:val="20"/>
        </w:rPr>
        <w:t xml:space="preserve"> </w:t>
      </w:r>
      <w:hyperlink r:id="rId18" w:anchor=":~:text=Laporkan%20kepada%20Pesuruhjaya%20Perlindungan%20Data,Peribadi%20tentang%C2%A0Data%20Breach%20Notification" w:tgtFrame="_blank" w:history="1">
        <w:r w:rsidRPr="00137A29">
          <w:rPr>
            <w:rStyle w:val="Hyperlink"/>
            <w:color w:val="auto"/>
            <w:sz w:val="20"/>
            <w:szCs w:val="20"/>
          </w:rPr>
          <w:t>pdp.gov.my</w:t>
        </w:r>
      </w:hyperlink>
      <w:r w:rsidRPr="00137A29">
        <w:rPr>
          <w:sz w:val="20"/>
          <w:szCs w:val="20"/>
        </w:rPr>
        <w:t>. The Philippines’ National Privacy Commission site explains its breach-notification processes (including an Annual Security Incident Report requirement)</w:t>
      </w:r>
      <w:r w:rsidR="0077322B">
        <w:rPr>
          <w:sz w:val="20"/>
          <w:szCs w:val="20"/>
        </w:rPr>
        <w:t xml:space="preserve"> </w:t>
      </w:r>
      <w:hyperlink r:id="rId19" w:anchor=":~:text=An%20Annual%20Security%20Incident%20Report,and%20contain%20the%20following%20information" w:tgtFrame="_blank" w:history="1">
        <w:r w:rsidRPr="00137A29">
          <w:rPr>
            <w:rStyle w:val="Hyperlink"/>
            <w:color w:val="auto"/>
            <w:sz w:val="20"/>
            <w:szCs w:val="20"/>
          </w:rPr>
          <w:t>privacy.gov.ph</w:t>
        </w:r>
      </w:hyperlink>
      <w:r w:rsidRPr="00137A29">
        <w:rPr>
          <w:sz w:val="20"/>
          <w:szCs w:val="20"/>
        </w:rPr>
        <w:t>. Thailand’s Computer Emergency Response Team (</w:t>
      </w:r>
      <w:proofErr w:type="spellStart"/>
      <w:r w:rsidRPr="00137A29">
        <w:rPr>
          <w:sz w:val="20"/>
          <w:szCs w:val="20"/>
        </w:rPr>
        <w:t>ThaiCERT</w:t>
      </w:r>
      <w:proofErr w:type="spellEnd"/>
      <w:r w:rsidRPr="00137A29">
        <w:rPr>
          <w:sz w:val="20"/>
          <w:szCs w:val="20"/>
        </w:rPr>
        <w:t xml:space="preserve">) site publicly posts news of major personal-data breaches affecting Thai organizations (e.g. the June 2025 </w:t>
      </w:r>
      <w:proofErr w:type="spellStart"/>
      <w:r w:rsidRPr="00137A29">
        <w:rPr>
          <w:sz w:val="20"/>
          <w:szCs w:val="20"/>
        </w:rPr>
        <w:t>Sensata</w:t>
      </w:r>
      <w:proofErr w:type="spellEnd"/>
      <w:r w:rsidRPr="00137A29">
        <w:rPr>
          <w:sz w:val="20"/>
          <w:szCs w:val="20"/>
        </w:rPr>
        <w:t xml:space="preserve"> ransomware breach</w:t>
      </w:r>
      <w:r w:rsidR="0077322B">
        <w:rPr>
          <w:sz w:val="20"/>
          <w:szCs w:val="20"/>
        </w:rPr>
        <w:t xml:space="preserve"> </w:t>
      </w:r>
      <w:hyperlink r:id="rId20" w:anchor=":~:text=Global%20industrial%20technology%20company%20Sensata,files%20containing%20sensitive%20personal%20data" w:tgtFrame="_blank" w:history="1">
        <w:r w:rsidRPr="00137A29">
          <w:rPr>
            <w:rStyle w:val="Hyperlink"/>
            <w:color w:val="auto"/>
            <w:sz w:val="20"/>
            <w:szCs w:val="20"/>
          </w:rPr>
          <w:t>thaicert.or.th</w:t>
        </w:r>
      </w:hyperlink>
      <w:r w:rsidRPr="00137A29">
        <w:rPr>
          <w:sz w:val="20"/>
          <w:szCs w:val="20"/>
        </w:rPr>
        <w:t>). These official portals and reports function similarly to the US-oriented Privacy Rights Clearinghouse breach database, by documenting and tracking data breaches in Southeast Asia.</w:t>
      </w:r>
    </w:p>
    <w:p w14:paraId="1B7A0DE2" w14:textId="77777777" w:rsidR="00137A29" w:rsidRPr="00137A29" w:rsidRDefault="00137A29" w:rsidP="00137A29">
      <w:pPr>
        <w:jc w:val="both"/>
        <w:rPr>
          <w:sz w:val="20"/>
          <w:szCs w:val="20"/>
        </w:rPr>
      </w:pPr>
      <w:r w:rsidRPr="00137A29">
        <w:rPr>
          <w:b/>
          <w:bCs/>
          <w:sz w:val="20"/>
          <w:szCs w:val="20"/>
        </w:rPr>
        <w:t>Sources:</w:t>
      </w:r>
      <w:r w:rsidRPr="00137A29">
        <w:rPr>
          <w:sz w:val="20"/>
          <w:szCs w:val="20"/>
        </w:rPr>
        <w:t xml:space="preserve"> Authoritative journal articles, legal analyses, official reports, and expert publications have been used as indicated above, each post-2010 and current to mid-2025. Each entry includes the requested citation information and a summary of relevance.</w:t>
      </w:r>
    </w:p>
    <w:p w14:paraId="2243A978" w14:textId="77777777" w:rsidR="00FE77C1" w:rsidRPr="0077322B" w:rsidRDefault="00FE77C1"/>
    <w:sectPr w:rsidR="00FE77C1" w:rsidRPr="00773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3FC"/>
    <w:multiLevelType w:val="multilevel"/>
    <w:tmpl w:val="87E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778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CB"/>
    <w:rsid w:val="00137A29"/>
    <w:rsid w:val="0042120B"/>
    <w:rsid w:val="0077322B"/>
    <w:rsid w:val="008A28C9"/>
    <w:rsid w:val="00C874CB"/>
    <w:rsid w:val="00CA7A88"/>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912C"/>
  <w15:chartTrackingRefBased/>
  <w15:docId w15:val="{3EBAF419-B408-42C7-B698-8B25BCCE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4CB"/>
    <w:rPr>
      <w:rFonts w:eastAsiaTheme="majorEastAsia" w:cstheme="majorBidi"/>
      <w:color w:val="272727" w:themeColor="text1" w:themeTint="D8"/>
    </w:rPr>
  </w:style>
  <w:style w:type="paragraph" w:styleId="Title">
    <w:name w:val="Title"/>
    <w:basedOn w:val="Normal"/>
    <w:next w:val="Normal"/>
    <w:link w:val="TitleChar"/>
    <w:uiPriority w:val="10"/>
    <w:qFormat/>
    <w:rsid w:val="00C8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4CB"/>
    <w:pPr>
      <w:spacing w:before="160"/>
      <w:jc w:val="center"/>
    </w:pPr>
    <w:rPr>
      <w:i/>
      <w:iCs/>
      <w:color w:val="404040" w:themeColor="text1" w:themeTint="BF"/>
    </w:rPr>
  </w:style>
  <w:style w:type="character" w:customStyle="1" w:styleId="QuoteChar">
    <w:name w:val="Quote Char"/>
    <w:basedOn w:val="DefaultParagraphFont"/>
    <w:link w:val="Quote"/>
    <w:uiPriority w:val="29"/>
    <w:rsid w:val="00C874CB"/>
    <w:rPr>
      <w:i/>
      <w:iCs/>
      <w:color w:val="404040" w:themeColor="text1" w:themeTint="BF"/>
    </w:rPr>
  </w:style>
  <w:style w:type="paragraph" w:styleId="ListParagraph">
    <w:name w:val="List Paragraph"/>
    <w:basedOn w:val="Normal"/>
    <w:uiPriority w:val="34"/>
    <w:qFormat/>
    <w:rsid w:val="00C874CB"/>
    <w:pPr>
      <w:ind w:left="720"/>
      <w:contextualSpacing/>
    </w:pPr>
  </w:style>
  <w:style w:type="character" w:styleId="IntenseEmphasis">
    <w:name w:val="Intense Emphasis"/>
    <w:basedOn w:val="DefaultParagraphFont"/>
    <w:uiPriority w:val="21"/>
    <w:qFormat/>
    <w:rsid w:val="00C874CB"/>
    <w:rPr>
      <w:i/>
      <w:iCs/>
      <w:color w:val="0F4761" w:themeColor="accent1" w:themeShade="BF"/>
    </w:rPr>
  </w:style>
  <w:style w:type="paragraph" w:styleId="IntenseQuote">
    <w:name w:val="Intense Quote"/>
    <w:basedOn w:val="Normal"/>
    <w:next w:val="Normal"/>
    <w:link w:val="IntenseQuoteChar"/>
    <w:uiPriority w:val="30"/>
    <w:qFormat/>
    <w:rsid w:val="00C8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4CB"/>
    <w:rPr>
      <w:i/>
      <w:iCs/>
      <w:color w:val="0F4761" w:themeColor="accent1" w:themeShade="BF"/>
    </w:rPr>
  </w:style>
  <w:style w:type="character" w:styleId="IntenseReference">
    <w:name w:val="Intense Reference"/>
    <w:basedOn w:val="DefaultParagraphFont"/>
    <w:uiPriority w:val="32"/>
    <w:qFormat/>
    <w:rsid w:val="00C874CB"/>
    <w:rPr>
      <w:b/>
      <w:bCs/>
      <w:smallCaps/>
      <w:color w:val="0F4761" w:themeColor="accent1" w:themeShade="BF"/>
      <w:spacing w:val="5"/>
    </w:rPr>
  </w:style>
  <w:style w:type="character" w:styleId="Hyperlink">
    <w:name w:val="Hyperlink"/>
    <w:basedOn w:val="DefaultParagraphFont"/>
    <w:uiPriority w:val="99"/>
    <w:unhideWhenUsed/>
    <w:rsid w:val="00137A29"/>
    <w:rPr>
      <w:color w:val="467886" w:themeColor="hyperlink"/>
      <w:u w:val="single"/>
    </w:rPr>
  </w:style>
  <w:style w:type="character" w:styleId="UnresolvedMention">
    <w:name w:val="Unresolved Mention"/>
    <w:basedOn w:val="DefaultParagraphFont"/>
    <w:uiPriority w:val="99"/>
    <w:semiHidden/>
    <w:unhideWhenUsed/>
    <w:rsid w:val="00137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lleke.com/wp-content/uploads/2023/08/Tilleke-Responding-to-a-Data-Breach-in-Southeast-Asia-August-2023.pdf" TargetMode="External"/><Relationship Id="rId13" Type="http://schemas.openxmlformats.org/officeDocument/2006/relationships/hyperlink" Target="https://fpf.org/wp-content/uploads/2024/09/FPF-Issue-Brief-APAC-DPA-Strategies-2024-1.pdf" TargetMode="External"/><Relationship Id="rId18" Type="http://schemas.openxmlformats.org/officeDocument/2006/relationships/hyperlink" Target="https://www.pdp.gov.my/ppdpv1/lapor-db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researchgate.net/publication/381411086_A_Comparative_Legal_Analysis_on_Personal_Data_Protection_Laws_in_Selected_ASEAN_Countries_Analisis_Perundangan_Perbandingan_Undang-undang_Perlindungan_Data_Peribadi_di_Negara-negara_ASEAN" TargetMode="External"/><Relationship Id="rId12" Type="http://schemas.openxmlformats.org/officeDocument/2006/relationships/hyperlink" Target="https://fpf.org/wp-content/uploads/2024/09/FPF-Issue-Brief-APAC-DPA-Strategies-2024-1.pdf" TargetMode="External"/><Relationship Id="rId17" Type="http://schemas.openxmlformats.org/officeDocument/2006/relationships/hyperlink" Target="https://www.pdpc.gov.sg/-/media/files/pdpc/pdf-files/data-protection-officers/pdpc-singapore-data-breach-landscape-2023-2024-for-dpos.pdf" TargetMode="External"/><Relationship Id="rId2" Type="http://schemas.openxmlformats.org/officeDocument/2006/relationships/styles" Target="styles.xml"/><Relationship Id="rId16" Type="http://schemas.openxmlformats.org/officeDocument/2006/relationships/hyperlink" Target="https://www.pdpc.gov.sg/" TargetMode="External"/><Relationship Id="rId20" Type="http://schemas.openxmlformats.org/officeDocument/2006/relationships/hyperlink" Target="https://www.thaicert.or.th/en/2025/06/11/sensata-technologies-discloses-personal-data-breach-following-ransomware-attack/" TargetMode="External"/><Relationship Id="rId1" Type="http://schemas.openxmlformats.org/officeDocument/2006/relationships/numbering" Target="numbering.xml"/><Relationship Id="rId6" Type="http://schemas.openxmlformats.org/officeDocument/2006/relationships/hyperlink" Target="https://www.researchgate.net/publication/381411086_A_Comparative_Legal_Analysis_on_Personal_Data_Protection_Laws_in_Selected_ASEAN_Countries_Analisis_Perundangan_Perbandingan_Undang-undang_Perlindungan_Data_Peribadi_di_Negara-negara_ASEAN" TargetMode="External"/><Relationship Id="rId11" Type="http://schemas.openxmlformats.org/officeDocument/2006/relationships/hyperlink" Target="https://iapp.org/news/a/malaysia-s-pdpa-amendments-delivering-enhanced-data-governance-and-transparency" TargetMode="External"/><Relationship Id="rId5" Type="http://schemas.openxmlformats.org/officeDocument/2006/relationships/hyperlink" Target="https://globalinvestigationsreview.com/guide/the-guide-cyber-investigations/fourth-edition/article/unlocking-asias-data-protection-landscape-essential-insights-breach-notifications-and-cybersecurity-obligations" TargetMode="External"/><Relationship Id="rId15" Type="http://schemas.openxmlformats.org/officeDocument/2006/relationships/hyperlink" Target="https://www.asiahouse.org/files/wp-uploads/2024/10/Poomthawat-Wachirapornpruet-Mind-the-Gap-How-Southeast-Asias-fragmented-personal-data-rules-impact-digital-finance.pdf" TargetMode="External"/><Relationship Id="rId10" Type="http://schemas.openxmlformats.org/officeDocument/2006/relationships/hyperlink" Target="https://fpf.org/blog/malaysia-charts-its-digital-course-a-guide-to-the-new-frameworks-for-data-protection-and-ai-ethics/" TargetMode="External"/><Relationship Id="rId19" Type="http://schemas.openxmlformats.org/officeDocument/2006/relationships/hyperlink" Target="https://privacy.gov.ph/pips-and-pics/breach-reporting/" TargetMode="External"/><Relationship Id="rId4" Type="http://schemas.openxmlformats.org/officeDocument/2006/relationships/webSettings" Target="webSettings.xml"/><Relationship Id="rId9" Type="http://schemas.openxmlformats.org/officeDocument/2006/relationships/hyperlink" Target="https://www.tilleke.com/wp-content/uploads/2023/08/Tilleke-Responding-to-a-Data-Breach-in-Southeast-Asia-August-2023.pdf" TargetMode="External"/><Relationship Id="rId14" Type="http://schemas.openxmlformats.org/officeDocument/2006/relationships/hyperlink" Target="https://www.pdpc.gov.sg/-/media/files/pdpc/pdf-files/data-protection-officers/pdpc-singapore-data-breach-landscape-2023-2024-for-dpos.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4</cp:revision>
  <dcterms:created xsi:type="dcterms:W3CDTF">2025-11-03T16:50:00Z</dcterms:created>
  <dcterms:modified xsi:type="dcterms:W3CDTF">2025-11-03T16:53:00Z</dcterms:modified>
</cp:coreProperties>
</file>