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D5E50" w14:textId="77777777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center"/>
        <w:rPr>
          <w:rFonts w:cs="Noto-Sans-Bold"/>
          <w:b/>
          <w:bCs/>
          <w:i/>
          <w:iCs/>
          <w:color w:val="000000"/>
          <w:kern w:val="0"/>
          <w:sz w:val="32"/>
          <w:szCs w:val="2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32"/>
          <w:szCs w:val="28"/>
        </w:rPr>
        <w:t>Annotated Bibliography: Enforcement of the</w:t>
      </w:r>
    </w:p>
    <w:p w14:paraId="36982E5B" w14:textId="77777777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center"/>
        <w:rPr>
          <w:rFonts w:cs="Noto-Sans-Bold"/>
          <w:b/>
          <w:bCs/>
          <w:i/>
          <w:iCs/>
          <w:color w:val="000000"/>
          <w:kern w:val="0"/>
          <w:sz w:val="32"/>
          <w:szCs w:val="2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32"/>
          <w:szCs w:val="28"/>
        </w:rPr>
        <w:t>Sarbanes-Oxley Act (SOX)</w:t>
      </w:r>
    </w:p>
    <w:p w14:paraId="573D704D" w14:textId="77777777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center"/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</w:pPr>
    </w:p>
    <w:p w14:paraId="2D71C6C2" w14:textId="1A042687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both"/>
        <w:rPr>
          <w:rFonts w:cs="Noto-Sans"/>
          <w:i/>
          <w:iCs/>
          <w:color w:val="000000"/>
          <w:kern w:val="0"/>
          <w:sz w:val="18"/>
          <w:szCs w:val="1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Grabar, N., Flow, S. L., &amp; </w:t>
      </w:r>
      <w:proofErr w:type="spellStart"/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>Janghorbani</w:t>
      </w:r>
      <w:proofErr w:type="spellEnd"/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, A. (2019).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SEC enforcement for internal control failures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>.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Harvard Law School Forum on Corporate Governance.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Abstract: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Summarizes a 2019 SEC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initiative penalizing four public companies for long-running failures to remediate material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weaknesses in internal controls (despite full disclosure of those weaknesses), thereby signaling a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more aggressive enforcement of SOX’s internal control provisions as standalone violations and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“sending a message” that companies “cannot hide behind disclosures” and must fix control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deficiencies.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br/>
      </w:r>
    </w:p>
    <w:p w14:paraId="22F28648" w14:textId="0DEBBD70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both"/>
        <w:rPr>
          <w:rFonts w:cs="Noto-Sans"/>
          <w:i/>
          <w:iCs/>
          <w:color w:val="000000"/>
          <w:kern w:val="0"/>
          <w:sz w:val="18"/>
          <w:szCs w:val="1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Halper, S. L., Mathews, L., &amp; Foley, W. J. (2014).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Before the whistle blows: Understanding and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addressing the expanding scope of whistleblower protections under Sarbanes-Oxley and Dodd-Frank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. Cadwalader, Wickersham &amp; Taft (Client Memo).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Abstract: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Reviews how courts have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expanded SOX’s whistleblower protection through cases like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>Lawson v. FMR LLC (2014)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, in which the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Supreme Court held that SOX §806’s anti-retaliation rules “shelter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employees of private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c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ontractors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and subcontractors” of public companies – thereby greatly enlarging the class of protected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whistleblowers – and discusses unresolved issues (e.g. what activities count as protected) that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complicate enforcement of SOX’s whistleblower provisions.</w:t>
      </w:r>
    </w:p>
    <w:p w14:paraId="3C50958F" w14:textId="560A0580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both"/>
        <w:rPr>
          <w:rFonts w:cs="Noto-Sans"/>
          <w:i/>
          <w:iCs/>
          <w:color w:val="000000"/>
          <w:kern w:val="0"/>
          <w:sz w:val="18"/>
          <w:szCs w:val="1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br/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Harris, L. (2022).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20 years after Sarbanes-Oxley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>. ACFE Insights (Association of Certified Fraud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Examiners).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Abstract: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Reflects on SOX’s legacy two decades on – including the creation of the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PCAOB and improvements in audit oversight, corporate governance, and fraud prevention – and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examines the SEC’s evolving use of SOX’s </w:t>
      </w:r>
      <w:proofErr w:type="spellStart"/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clawback</w:t>
      </w:r>
      <w:proofErr w:type="spellEnd"/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provision (§304) to recoup executive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compensation in fraud cases, noting that while the SEC was initially reluctant (as seen in early cases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where executives repaid bonuses voluntarily), it has more recently invoked §304 in standalone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actions (e.g. 2021’s WageWorks and 2022’s Synchronoss cases) to claw back millions from CEOs/CFOs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who benefited from misconduct, underscoring both the power and discretionary nature of SOX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enforcement.</w:t>
      </w:r>
    </w:p>
    <w:p w14:paraId="345BDA49" w14:textId="2397C6C3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both"/>
        <w:rPr>
          <w:rFonts w:cs="Noto-Sans"/>
          <w:i/>
          <w:iCs/>
          <w:color w:val="000000"/>
          <w:kern w:val="0"/>
          <w:sz w:val="18"/>
          <w:szCs w:val="1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br/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Harvard Law Review. (2015).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Yates v. United States, 574 U.S. 528 (2015)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>. Harvard Law Review,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129(1), 361–371.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Abstract: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Explains the Supreme Court’s ruling in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Yates v. United States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(2015),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which narrowed the scope of a SOX criminal provision – the anti-shredding rule in 18 U.S.C. §1519 –by holding that the term “tangible object” covers only objects used to record or preserve information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(thereby excluding things like the undersized fish that the petitioner was prosecuted for destroying);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the Court’s decision to throw out the conviction reflects judicial insistence on due process and clear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notice, highlighting limits on overzealous enforcement of SOX’s penalties .</w:t>
      </w:r>
    </w:p>
    <w:p w14:paraId="38779CA5" w14:textId="7A3EDB21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both"/>
        <w:rPr>
          <w:rFonts w:cs="Noto-Sans"/>
          <w:i/>
          <w:iCs/>
          <w:color w:val="000000"/>
          <w:kern w:val="0"/>
          <w:sz w:val="18"/>
          <w:szCs w:val="1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br/>
      </w:r>
      <w:proofErr w:type="spellStart"/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>Mascianica</w:t>
      </w:r>
      <w:proofErr w:type="spellEnd"/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, S. F., &amp; Porter, J. (2023).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Securities and Exchange Commission is showing its claws with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an increased focus on recouping executive compensation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Journal of Federal Agency Action, 1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>(1),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51–60.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Abstract: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Reviews the SEC’s renewed emphasis on enforcing SOX §304’s CEO/CFO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proofErr w:type="spellStart"/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clawback</w:t>
      </w:r>
      <w:proofErr w:type="spellEnd"/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provisions, noting that after years of infrequent use of this power the “tide has shifted” –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under SEC Chair Gary Gensler the Commission has aggressively pursued several high-profile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standalone </w:t>
      </w:r>
      <w:proofErr w:type="spellStart"/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clawback</w:t>
      </w:r>
      <w:proofErr w:type="spellEnd"/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actions (i.e. cases where executives must disgorge bonuses/profits even if they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weren’t personally charged with fraud), and enforcement officials have stated they are “committed to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using SOX §304” to hold top executives accountable.</w:t>
      </w:r>
    </w:p>
    <w:p w14:paraId="3ADC72B1" w14:textId="2BE13870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both"/>
        <w:rPr>
          <w:rFonts w:cs="Noto-Sans"/>
          <w:i/>
          <w:iCs/>
          <w:color w:val="000000"/>
          <w:kern w:val="0"/>
          <w:sz w:val="18"/>
          <w:szCs w:val="1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br/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Steinberg, M. I., &amp; Steinberg, A. B. (2025).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Unflexed muscle: SEC enforcement of CEO and CFO SOX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certifications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. Columbia Law School Blue Sky Blog.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Abstract: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Drawing on an extensive study,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the authors reveal that the SEC has 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rarely enforced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SOX’s CEO/CFO financial-statement certification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requirement (§302) as a standalone matter – in over twenty years, the Commission has brought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almost no independent actions for false certifications (only tagging such charges onto fraud cases,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primarily against executives of smaller firms) and 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“has not substantively pursued”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this provision in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the robust way Congress intended, leaving a key SOX enforcement tool largely underutilized.</w:t>
      </w:r>
    </w:p>
    <w:p w14:paraId="1888C372" w14:textId="1B97DC0A" w:rsidR="00A71193" w:rsidRPr="00A71193" w:rsidRDefault="00A71193" w:rsidP="00A71193">
      <w:pPr>
        <w:autoSpaceDE w:val="0"/>
        <w:autoSpaceDN w:val="0"/>
        <w:adjustRightInd w:val="0"/>
        <w:spacing w:after="0" w:line="240" w:lineRule="auto"/>
        <w:jc w:val="both"/>
        <w:rPr>
          <w:rFonts w:cs="Noto-Sans"/>
          <w:i/>
          <w:iCs/>
          <w:color w:val="000000"/>
          <w:kern w:val="0"/>
          <w:sz w:val="18"/>
          <w:szCs w:val="1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br/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Woodcock, D. (2015).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Accounting fraud: Down, but not out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. Law360.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Abstract: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Reports that the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incidence of corporate accounting fraud and related enforcement actions declined markedly in the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post-SOX era, attributing the improvement to SOX’s reforms – such as stronger internal controls,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more vigilant audit committees, and greater CEO/CFO accountability – which have “improved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financial reporting quality” and led to far fewer restatements and fraud cases; however, the article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cautions that celebrating this success may be premature, as fraud risks persist and continued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vigilance (and enforcement) is required.</w:t>
      </w:r>
    </w:p>
    <w:p w14:paraId="16D1B649" w14:textId="310D330F" w:rsidR="00FE77C1" w:rsidRPr="00A71193" w:rsidRDefault="00A71193" w:rsidP="00A71193">
      <w:pPr>
        <w:autoSpaceDE w:val="0"/>
        <w:autoSpaceDN w:val="0"/>
        <w:adjustRightInd w:val="0"/>
        <w:spacing w:after="0" w:line="240" w:lineRule="auto"/>
        <w:jc w:val="both"/>
        <w:rPr>
          <w:i/>
          <w:iCs/>
          <w:sz w:val="18"/>
          <w:szCs w:val="18"/>
        </w:rPr>
      </w:pP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br/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Zuckerman, J. (2017). </w:t>
      </w:r>
      <w:r w:rsidRPr="00A71193">
        <w:rPr>
          <w:rFonts w:cs="Noto-Sans-Bold-Italic"/>
          <w:b/>
          <w:bCs/>
          <w:i/>
          <w:iCs/>
          <w:color w:val="000000"/>
          <w:kern w:val="0"/>
          <w:sz w:val="18"/>
          <w:szCs w:val="18"/>
        </w:rPr>
        <w:t>Sarbanes-Oxley whistleblower protection at 15 years: Promise unfulfilled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>.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Bold"/>
          <w:b/>
          <w:bCs/>
          <w:i/>
          <w:iCs/>
          <w:color w:val="000000"/>
          <w:kern w:val="0"/>
          <w:sz w:val="18"/>
          <w:szCs w:val="18"/>
        </w:rPr>
        <w:t xml:space="preserve">Zuckerman Law Blog.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-Italic"/>
          <w:i/>
          <w:iCs/>
          <w:color w:val="000000"/>
          <w:kern w:val="0"/>
          <w:sz w:val="18"/>
          <w:szCs w:val="18"/>
        </w:rPr>
        <w:t xml:space="preserve">Abstract: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Observes that while SOX’s whistleblower protections (Section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806) have yielded some notable victories – for example, multimillion-dollar jury verdicts in 2014–2017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retaliation cases that sent a strong message to companies – significant challenges remain in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enforcement of the law’s anti-retaliation mandate, as many employees still fear reprisal and the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Department of Labor (tasked with initial SOX whistleblower claims) has historically lacked the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resources to investigate complaints promptly, undermining the “early warning system” that SOX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 xml:space="preserve"> </w:t>
      </w:r>
      <w:r w:rsidRPr="00A71193">
        <w:rPr>
          <w:rFonts w:cs="Noto-Sans"/>
          <w:i/>
          <w:iCs/>
          <w:color w:val="000000"/>
          <w:kern w:val="0"/>
          <w:sz w:val="18"/>
          <w:szCs w:val="18"/>
        </w:rPr>
        <w:t>intended to create.</w:t>
      </w:r>
    </w:p>
    <w:sectPr w:rsidR="00FE77C1" w:rsidRPr="00A71193" w:rsidSect="00A7119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-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-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-Sans-Bold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-Sans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39"/>
    <w:rsid w:val="004A7D39"/>
    <w:rsid w:val="008A28C9"/>
    <w:rsid w:val="00A71193"/>
    <w:rsid w:val="00E94581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EF7B"/>
  <w15:chartTrackingRefBased/>
  <w15:docId w15:val="{FB39C9EA-D069-4FE2-8833-1E256FE9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2</cp:revision>
  <dcterms:created xsi:type="dcterms:W3CDTF">2025-10-17T17:40:00Z</dcterms:created>
  <dcterms:modified xsi:type="dcterms:W3CDTF">2025-10-17T17:46:00Z</dcterms:modified>
</cp:coreProperties>
</file>