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73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Classification of Machine Failure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industries, re-evaluating their maintenance schedules is necessary for this digitalization era as smart as possible for production enhancements. Predictive maintenance offers great opportunities to businesses for a smarter and more digital facility. Using this dataset our objective is to predict when the machine is more likely to fail.</w:t>
      </w:r>
    </w:p>
    <w:p w:rsidR="00000000" w:rsidDel="00000000" w:rsidP="00000000" w:rsidRDefault="00000000" w:rsidRPr="00000000" w14:paraId="00000005">
      <w:pPr>
        <w:ind w:left="110" w:hanging="11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7">
      <w:pPr>
        <w:ind w:left="120" w:hanging="120"/>
        <w:rPr>
          <w:strike w:val="0"/>
          <w:color w:val="00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-The dataset contains </w:t>
      </w:r>
      <w:r w:rsidDel="00000000" w:rsidR="00000000" w:rsidRPr="00000000">
        <w:rPr>
          <w:sz w:val="24"/>
          <w:szCs w:val="24"/>
          <w:rtl w:val="0"/>
        </w:rPr>
        <w:t xml:space="preserve">10000 observations in 14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Rshiny/ Flask / Heroku.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15.0" w:type="dxa"/>
        <w:tblLayout w:type="fixed"/>
        <w:tblLook w:val="0000"/>
      </w:tblPr>
      <w:tblGrid>
        <w:gridCol w:w="2730"/>
        <w:gridCol w:w="2745"/>
        <w:gridCol w:w="2745"/>
        <w:tblGridChange w:id="0">
          <w:tblGrid>
            <w:gridCol w:w="2730"/>
            <w:gridCol w:w="2745"/>
            <w:gridCol w:w="27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09/10/2021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&amp;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- 1 1/2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16/10/2021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23/10/2021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10" w:default="1">
    <w:name w:val="Default Paragraph Font"/>
    <w:uiPriority w:val="1"/>
    <w:semiHidden w:val="1"/>
    <w:unhideWhenUsed w:val="1"/>
    <w:qFormat w:val="1"/>
  </w:style>
  <w:style w:type="table" w:styleId="11" w:default="1">
    <w:name w:val="Normal Table"/>
    <w:uiPriority w:val="99"/>
    <w:semiHidden w:val="1"/>
    <w:unhideWhenUsed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20"/>
    <w:basedOn w:val="12"/>
    <w:uiPriority w:val="0"/>
    <w:qFormat w:val="1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23"/>
    <w:basedOn w:val="12"/>
    <w:uiPriority w:val="0"/>
    <w:qFormat w:val="1"/>
    <w:tblPr>
      <w:tblLayout w:type="fixed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TXwj0bjWQXfyAX6Km2WpUNdtw==">AMUW2mW7b+v1qN91qdqfd/hogWnLZ8tYGqb1QtKoexzTXof1eHegBCdH/nlC1Aw272LW/cPJYP8RYhDeBAj8ULAHa09hzikQPZnthNt1y/vJ+7JNN1U6BTPHs2d2FrOcIMrpeXvl3lS6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