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 w:lineRule="auto" w:line="276"/>
      </w:pPr>
      <w:r>
        <w:rPr>
          <w:b/>
          <w:sz w:val="28"/>
        </w:rPr>
        <w:t>Supplementary Tables 6 and 7</w:t>
      </w:r>
    </w:p>
    <w:p>
      <w:pPr>
        <w:spacing w:before="0" w:after="200" w:lineRule="auto" w:line="276"/>
      </w:pPr>
      <w:r>
        <w:rPr>
          <w:sz w:val="20"/>
        </w:rPr>
        <w:t>Table 6 (manuscript Table 4) and Table 7 (manuscript Table 2). Bold values match the README layout.</w:t>
      </w:r>
    </w:p>
    <w:p>
      <w:pPr>
        <w:spacing w:before="120" w:after="80" w:lineRule="auto" w:line="276"/>
      </w:pPr>
      <w:r>
        <w:rPr>
          <w:b/>
          <w:sz w:val="24"/>
        </w:rPr>
        <w:t>Table 6 — Tri-stage restoration ablation and hyperparameter sensitivity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Restoration pipeline stage (Table 6)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Hyperparameters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mIoU (%)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mTC (%)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Raw input (no restoration)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65.4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77.2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1: flare suppression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τ_flare = 220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67.3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79.5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1: flare suppression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τ_flare = 240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68.6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81.0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1: flare suppression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τ_flare = 260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67.9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79.4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2: DCP dehazing (guided)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σ = 2.0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70.2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83.2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2: DCP dehazing (guided)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σ = 3.0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71.4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84.6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2: DCP dehazing (guided)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σ = 4.0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70.6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83.0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3: CLAHE &amp; gamma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γ = 0.8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71.2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85.9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3: CLAHE &amp; gamma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γ = 1.4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73.1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86.8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3: CLAHE &amp; gamma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γ = 2.2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71.6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86.2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Tri-stage photometric pipeline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74.8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88.4</w:t>
            </w:r>
          </w:p>
        </w:tc>
      </w:tr>
    </w:tbl>
    <w:p>
      <w:pPr>
        <w:spacing w:before="40" w:after="120" w:lineRule="auto" w:line="276"/>
      </w:pPr>
      <w:r>
        <w:rPr>
          <w:i/>
          <w:sz w:val="18"/>
        </w:rPr>
        <w:t>Component-wise ablation and hyperparameter sweeps with SAM 3 + causal segmentation fixed (manuscript Table 4).</w:t>
      </w:r>
    </w:p>
    <w:p>
      <w:pPr>
        <w:spacing w:before="120" w:after="80" w:lineRule="auto" w:line="276"/>
      </w:pPr>
      <w:r>
        <w:rPr>
          <w:b/>
          <w:sz w:val="24"/>
        </w:rPr>
        <w:t>Table 7 — Comparative benchmark (excerpt)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Method (Table 7)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mIoU (%)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mTC (%)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FPS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SAM (per-frame zero-shot)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62.5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64.1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12.3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SAM 2 (streaming video)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71.6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85.1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22.4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Restoration + SAM 3 (causal PCS) — ours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74.8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88.4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28.6</w:t>
            </w:r>
          </w:p>
        </w:tc>
      </w:tr>
    </w:tbl>
    <w:p>
      <w:pPr>
        <w:spacing w:before="40" w:after="120" w:lineRule="auto" w:line="276"/>
      </w:pPr>
      <w:r>
        <w:rPr>
          <w:i/>
          <w:sz w:val="18"/>
        </w:rPr>
        <w:t>State-of-the-art comparison on curated multi-scenario dashcam sequences (manuscript Table 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Rule="auto" w:line="276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