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 w:lineRule="auto" w:line="276"/>
      </w:pPr>
      <w:r>
        <w:rPr>
          <w:b/>
          <w:sz w:val="28"/>
        </w:rPr>
        <w:t>Supplementary quantitative tables</w:t>
      </w:r>
    </w:p>
    <w:p>
      <w:pPr>
        <w:spacing w:before="0" w:after="200" w:lineRule="auto" w:line="276"/>
      </w:pPr>
      <w:r>
        <w:rPr>
          <w:sz w:val="20"/>
        </w:rPr>
        <w:t>Tables 2, 4, and 5 (excerpts) from the dashcam causal segmentation manuscript. Bold values match the rebuttal / README layout.</w:t>
      </w:r>
    </w:p>
    <w:p>
      <w:pPr>
        <w:spacing w:before="120" w:after="80" w:lineRule="auto" w:line="276"/>
      </w:pPr>
      <w:r>
        <w:rPr>
          <w:b/>
          <w:sz w:val="24"/>
        </w:rPr>
        <w:t>Table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Method (manuscript Table 2)</w:t>
            </w:r>
          </w:p>
        </w:tc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mIoU (%)</w:t>
            </w:r>
          </w:p>
        </w:tc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mTC (%)</w:t>
            </w:r>
          </w:p>
        </w:tc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FPS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SAM (per-frame zero-shot)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62.5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64.1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12.3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SAM 2 (streaming video)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71.6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85.1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22.4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Restoration + SAM 3 (causal PCS) — ours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74.8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88.4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28.6</w:t>
            </w:r>
          </w:p>
        </w:tc>
      </w:tr>
    </w:tbl>
    <w:p>
      <w:pPr>
        <w:spacing w:before="40" w:after="120" w:lineRule="auto" w:line="276"/>
      </w:pPr>
      <w:r>
        <w:rPr>
          <w:i/>
          <w:sz w:val="18"/>
        </w:rPr>
        <w:t>Comparative benchmark excerpt (manuscript Table 2).</w:t>
      </w:r>
    </w:p>
    <w:p>
      <w:pPr>
        <w:spacing w:before="120" w:after="80" w:lineRule="auto" w:line="276"/>
      </w:pPr>
      <w:r>
        <w:rPr>
          <w:b/>
          <w:sz w:val="24"/>
        </w:rPr>
        <w:t>Table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Restoration pipeline stage (manuscript Table 4)</w:t>
            </w:r>
          </w:p>
        </w:tc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Hyperparameters</w:t>
            </w:r>
          </w:p>
        </w:tc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mIoU (%)</w:t>
            </w:r>
          </w:p>
        </w:tc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mTC (%)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Raw input (no restoration)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65.4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77.2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1: flare suppression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τ_flare = 220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67.3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79.5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1: flare suppression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τ_flare = 240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68.6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81.0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1: flare suppression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τ_flare = 260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67.9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79.4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2: DCP dehazing (guided)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σ = 2.0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70.2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83.2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2: DCP dehazing (guided)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σ = 3.0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71.4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84.6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2: DCP dehazing (guided)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σ = 4.0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70.6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83.0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3: CLAHE &amp; gamma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γ = 0.8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71.2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85.9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3: CLAHE &amp; gamma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γ = 1.4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73.1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86.8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3: CLAHE &amp; gamma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γ = 2.2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71.6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86.2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Tri-stage photometric pipeline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74.8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88.4</w:t>
            </w:r>
          </w:p>
        </w:tc>
      </w:tr>
    </w:tbl>
    <w:p>
      <w:pPr>
        <w:spacing w:before="40" w:after="120" w:lineRule="auto" w:line="276"/>
      </w:pPr>
      <w:r>
        <w:rPr>
          <w:i/>
          <w:sz w:val="18"/>
        </w:rPr>
        <w:t>Tri-stage restoration ablation and one-at-a-time hyperparameter sweeps (manuscript Table 4; SAM 3 + causal segmentation fixed).</w:t>
      </w:r>
    </w:p>
    <w:p>
      <w:pPr>
        <w:spacing w:before="120" w:after="80" w:lineRule="auto" w:line="276"/>
      </w:pPr>
      <w:r>
        <w:rPr>
          <w:b/>
          <w:sz w:val="24"/>
        </w:rPr>
        <w:t>Table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930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Framework (Jetson AGX Orin, FP16 — manuscript Table 5)</w:t>
            </w:r>
          </w:p>
        </w:tc>
        <w:tc>
          <w:tcPr>
            <w:tcW w:type="dxa" w:w="1930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Restoration (ms)</w:t>
            </w:r>
          </w:p>
        </w:tc>
        <w:tc>
          <w:tcPr>
            <w:tcW w:type="dxa" w:w="1930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Seg. (ms)</w:t>
            </w:r>
          </w:p>
        </w:tc>
        <w:tc>
          <w:tcPr>
            <w:tcW w:type="dxa" w:w="1930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FPS</w:t>
            </w:r>
          </w:p>
        </w:tc>
        <w:tc>
          <w:tcPr>
            <w:tcW w:type="dxa" w:w="1930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Peak VRAM (MB)</w:t>
            </w:r>
          </w:p>
        </w:tc>
      </w:tr>
      <w:tr>
        <w:trPr>
          <w:cantSplit/>
        </w:trPr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YOLOv11s + SAM</w:t>
            </w:r>
          </w:p>
        </w:tc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5.8</w:t>
            </w:r>
          </w:p>
        </w:tc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92.4</w:t>
            </w:r>
          </w:p>
        </w:tc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10.2</w:t>
            </w:r>
          </w:p>
        </w:tc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6480</w:t>
            </w:r>
          </w:p>
        </w:tc>
      </w:tr>
      <w:tr>
        <w:trPr>
          <w:cantSplit/>
        </w:trPr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Grounding DINO + SAM</w:t>
            </w:r>
          </w:p>
        </w:tc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5.8</w:t>
            </w:r>
          </w:p>
        </w:tc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128.2</w:t>
            </w:r>
          </w:p>
        </w:tc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7.8</w:t>
            </w:r>
          </w:p>
        </w:tc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7920</w:t>
            </w:r>
          </w:p>
        </w:tc>
      </w:tr>
      <w:tr>
        <w:trPr>
          <w:cantSplit/>
        </w:trPr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Proposed causal pipeline</w:t>
            </w:r>
          </w:p>
        </w:tc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5.8</w:t>
            </w:r>
          </w:p>
        </w:tc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29.1</w:t>
            </w:r>
          </w:p>
        </w:tc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28.6</w:t>
            </w:r>
          </w:p>
        </w:tc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4005</w:t>
            </w:r>
          </w:p>
        </w:tc>
      </w:tr>
    </w:tbl>
    <w:p>
      <w:pPr>
        <w:spacing w:before="40" w:after="120" w:lineRule="auto" w:line="276"/>
      </w:pPr>
      <w:r>
        <w:rPr>
          <w:i/>
          <w:sz w:val="18"/>
        </w:rPr>
        <w:t>Embedded efficiency on NVIDIA Jetson AGX Orin, FP16 (manuscript Table 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Rule="auto" w:line="276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