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Rule="auto" w:line="276"/>
      </w:pPr>
      <w:r>
        <w:rPr>
          <w:b/>
          <w:sz w:val="28"/>
        </w:rPr>
        <w:t>Hyperparameter sensitivity tables (Tables 6–8)</w:t>
      </w:r>
    </w:p>
    <w:p>
      <w:pPr>
        <w:spacing w:before="0" w:after="200" w:lineRule="auto" w:line="276"/>
      </w:pPr>
      <w:r>
        <w:rPr>
          <w:sz w:val="20"/>
        </w:rPr>
        <w:t>Extension of manuscript Table 4 for one-at-a-time restoration hyperparameter sweeps. Metrics are mIoU and mTC (Section 4.2; mTC Eq. 17) after SAM 3 + causal inference on restored dashcam video.</w:t>
      </w:r>
    </w:p>
    <w:p>
      <w:pPr>
        <w:spacing w:before="120" w:after="80" w:lineRule="auto" w:line="276"/>
      </w:pPr>
      <w:r>
        <w:rPr>
          <w:b/>
          <w:sz w:val="24"/>
        </w:rPr>
        <w:t>Table 6</w:t>
      </w:r>
    </w:p>
    <w:p>
      <w:pPr>
        <w:keepNext/>
        <w:spacing w:before="0" w:after="0" w:lineRule="auto" w:line="276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pipeline stage (manuscript Table 4)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Hyperparameters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Raw input (no restoration)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65.4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77.2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220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67.3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79.5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τ_flare = 240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68.6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81.0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260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67.9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79.4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Table 6 — Sensitivity of flare threshold τ_flare (Section 3.2, Eq. 2) with Stage 1 flare suppression enabled and SAM 3 + causal segmentation held fixed. Other restoration stages are off for the Stage 1 block; bold row is the manuscript default (τ_flare = 240, Table 4).</w:t>
      </w:r>
    </w:p>
    <w:p>
      <w:pPr>
        <w:spacing w:before="120" w:after="80" w:lineRule="auto" w:line="276"/>
      </w:pPr>
      <w:r>
        <w:rPr>
          <w:b/>
          <w:sz w:val="24"/>
        </w:rPr>
        <w:t>Table 7</w:t>
      </w:r>
    </w:p>
    <w:p>
      <w:pPr>
        <w:keepNext/>
        <w:spacing w:before="0" w:after="0" w:lineRule="auto" w:line="276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pipeline stage (manuscript Table 4)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Hyperparameters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Raw input (no restoration)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65.4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77.2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2.0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σ = 3.0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84.6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4.0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83.0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Table 7 — Sensitivity of Gaussian feather scale σ (Section 3.2, Eq. 3) with Stages 1–2 active (τ_flare = 240 fixed). Bold row matches manuscript Table 4 (σ = 3.0).</w:t>
      </w:r>
    </w:p>
    <w:p>
      <w:pPr>
        <w:spacing w:before="120" w:after="80" w:lineRule="auto" w:line="276"/>
      </w:pPr>
      <w:r>
        <w:rPr>
          <w:b/>
          <w:sz w:val="24"/>
        </w:rPr>
        <w:t>Table 8</w:t>
      </w:r>
    </w:p>
    <w:p>
      <w:pPr>
        <w:keepNext/>
        <w:spacing w:before="0" w:after="0" w:lineRule="auto" w:line="276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pipeline stage (manuscript Table 4)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Hyperparameters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Raw input (no restoration)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65.4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77.2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0.8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85.9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γ = 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73.1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86.8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2.2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86.2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Table 8 — Sensitivity of gamma γ (Section 3.2, Eq. 10) with Stages 1–3 active (τ_flare = 240, σ = 3.0 fixed). Bold row matches manuscript Table 4 (γ = 1.4). Full tri-stage result: 74.8% mIoU / 88.4% mTC (Table 4, final row).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Rule="auto" w:line="276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