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Rule="auto" w:line="276"/>
      </w:pPr>
      <w:r>
        <w:rPr>
          <w:b/>
          <w:sz w:val="28"/>
        </w:rPr>
        <w:t>Supplementary Tables 6–8</w:t>
      </w:r>
    </w:p>
    <w:p>
      <w:pPr>
        <w:spacing w:before="0" w:after="200" w:lineRule="auto" w:line="276"/>
      </w:pPr>
      <w:r>
        <w:rPr>
          <w:sz w:val="20"/>
        </w:rPr>
        <w:t>Table 6 (manuscript Table 4), Table 7 (manuscript Table 2), and Table 8 (manuscript Table 5). Bold values match the README layout.</w:t>
      </w:r>
    </w:p>
    <w:p>
      <w:pPr>
        <w:spacing w:before="120" w:after="80" w:lineRule="auto" w:line="276"/>
      </w:pPr>
      <w:r>
        <w:rPr>
          <w:b/>
          <w:sz w:val="24"/>
        </w:rPr>
        <w:t>Table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412"/>
            <w:shd w:fill="E8E8E8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Restoration pipeline stage (Table 6)</w:t>
            </w:r>
          </w:p>
        </w:tc>
        <w:tc>
          <w:tcPr>
            <w:tcW w:type="dxa" w:w="2412"/>
            <w:shd w:fill="E8E8E8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Hyperparameters</w:t>
            </w:r>
          </w:p>
        </w:tc>
        <w:tc>
          <w:tcPr>
            <w:tcW w:type="dxa" w:w="2412"/>
            <w:shd w:fill="E8E8E8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mIoU (%)</w:t>
            </w:r>
          </w:p>
        </w:tc>
        <w:tc>
          <w:tcPr>
            <w:tcW w:type="dxa" w:w="2412"/>
            <w:shd w:fill="E8E8E8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mTC (%)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Raw input (no restoration)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65.4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77.2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+ Stage 1: flare suppression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τ_flare = 220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67.3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79.5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+ Stage 1: flare suppression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τ_flare = 240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68.6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81.0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+ Stage 1: flare suppression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τ_flare = 260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67.9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79.4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+ Stage 2: DCP dehazing (guided)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σ = 2.0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70.2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83.2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+ Stage 2: DCP dehazing (guided)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σ = 3.0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71.4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84.6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+ Stage 2: DCP dehazing (guided)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σ = 4.0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70.6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83.0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+ Stage 3: CLAHE &amp; gamma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γ = 0.8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71.2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85.9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+ Stage 3: CLAHE &amp; gamma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γ = 1.4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73.1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86.8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+ Stage 3: CLAHE &amp; gamma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γ = 2.2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71.6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86.2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Tri-stage photometric pipeline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74.8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88.4</w:t>
            </w:r>
          </w:p>
        </w:tc>
      </w:tr>
    </w:tbl>
    <w:p>
      <w:pPr>
        <w:spacing w:before="40" w:after="120" w:lineRule="auto" w:line="276"/>
      </w:pPr>
      <w:r>
        <w:rPr>
          <w:i/>
          <w:sz w:val="18"/>
        </w:rPr>
        <w:t>Tri-stage restoration ablation and hyperparameter sweeps (manuscript Table 4).</w:t>
      </w:r>
    </w:p>
    <w:p>
      <w:pPr>
        <w:spacing w:before="120" w:after="80" w:lineRule="auto" w:line="276"/>
      </w:pPr>
      <w:r>
        <w:rPr>
          <w:b/>
          <w:sz w:val="24"/>
        </w:rPr>
        <w:t>Table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412"/>
            <w:shd w:fill="E8E8E8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Method (Table 7)</w:t>
            </w:r>
          </w:p>
        </w:tc>
        <w:tc>
          <w:tcPr>
            <w:tcW w:type="dxa" w:w="2412"/>
            <w:shd w:fill="E8E8E8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mIoU (%)</w:t>
            </w:r>
          </w:p>
        </w:tc>
        <w:tc>
          <w:tcPr>
            <w:tcW w:type="dxa" w:w="2412"/>
            <w:shd w:fill="E8E8E8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mTC (%)</w:t>
            </w:r>
          </w:p>
        </w:tc>
        <w:tc>
          <w:tcPr>
            <w:tcW w:type="dxa" w:w="2412"/>
            <w:shd w:fill="E8E8E8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FPS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SAM (per-frame zero-shot)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62.5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64.1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12.3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SAM 2 (streaming video)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71.6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85.1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22.4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Restoration + SAM 3 (causal PCS) — ours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74.8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88.4</w:t>
            </w:r>
          </w:p>
        </w:tc>
        <w:tc>
          <w:tcPr>
            <w:tcW w:type="dxa" w:w="2412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28.6</w:t>
            </w:r>
          </w:p>
        </w:tc>
      </w:tr>
    </w:tbl>
    <w:p>
      <w:pPr>
        <w:spacing w:before="40" w:after="120" w:lineRule="auto" w:line="276"/>
      </w:pPr>
      <w:r>
        <w:rPr>
          <w:i/>
          <w:sz w:val="18"/>
        </w:rPr>
        <w:t>Comparative benchmark excerpt (manuscript Table 2).</w:t>
      </w:r>
    </w:p>
    <w:p>
      <w:pPr>
        <w:spacing w:before="120" w:after="80" w:lineRule="auto" w:line="276"/>
      </w:pPr>
      <w:r>
        <w:rPr>
          <w:b/>
          <w:sz w:val="24"/>
        </w:rPr>
        <w:t>Table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930"/>
            <w:shd w:fill="E8E8E8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Framework (Table 8)</w:t>
            </w:r>
          </w:p>
        </w:tc>
        <w:tc>
          <w:tcPr>
            <w:tcW w:type="dxa" w:w="1930"/>
            <w:shd w:fill="E8E8E8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Restoration (ms)</w:t>
            </w:r>
          </w:p>
        </w:tc>
        <w:tc>
          <w:tcPr>
            <w:tcW w:type="dxa" w:w="1930"/>
            <w:shd w:fill="E8E8E8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Seg. (ms)</w:t>
            </w:r>
          </w:p>
        </w:tc>
        <w:tc>
          <w:tcPr>
            <w:tcW w:type="dxa" w:w="1930"/>
            <w:shd w:fill="E8E8E8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FPS</w:t>
            </w:r>
          </w:p>
        </w:tc>
        <w:tc>
          <w:tcPr>
            <w:tcW w:type="dxa" w:w="1930"/>
            <w:shd w:fill="E8E8E8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Peak VRAM (MB)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YOLOv11s + SAM</w:t>
            </w:r>
          </w:p>
        </w:tc>
        <w:tc>
          <w:tcPr>
            <w:tcW w:type="dxa" w:w="1930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5.8</w:t>
            </w:r>
          </w:p>
        </w:tc>
        <w:tc>
          <w:tcPr>
            <w:tcW w:type="dxa" w:w="1930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92.4</w:t>
            </w:r>
          </w:p>
        </w:tc>
        <w:tc>
          <w:tcPr>
            <w:tcW w:type="dxa" w:w="1930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10.2</w:t>
            </w:r>
          </w:p>
        </w:tc>
        <w:tc>
          <w:tcPr>
            <w:tcW w:type="dxa" w:w="1930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6480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Grounding DINO + SAM</w:t>
            </w:r>
          </w:p>
        </w:tc>
        <w:tc>
          <w:tcPr>
            <w:tcW w:type="dxa" w:w="1930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5.8</w:t>
            </w:r>
          </w:p>
        </w:tc>
        <w:tc>
          <w:tcPr>
            <w:tcW w:type="dxa" w:w="1930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128.2</w:t>
            </w:r>
          </w:p>
        </w:tc>
        <w:tc>
          <w:tcPr>
            <w:tcW w:type="dxa" w:w="1930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7.8</w:t>
            </w:r>
          </w:p>
        </w:tc>
        <w:tc>
          <w:tcPr>
            <w:tcW w:type="dxa" w:w="1930"/>
          </w:tcPr>
          <w:p>
            <w:pPr>
              <w:spacing w:before="40" w:after="40" w:lineRule="auto" w:line="240"/>
            </w:pPr>
            <w:r>
              <w:rPr>
                <w:b w:val="0"/>
                <w:sz w:val="18"/>
              </w:rPr>
              <w:t>7920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Proposed causal pipeline</w:t>
            </w:r>
          </w:p>
        </w:tc>
        <w:tc>
          <w:tcPr>
            <w:tcW w:type="dxa" w:w="1930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5.8</w:t>
            </w:r>
          </w:p>
        </w:tc>
        <w:tc>
          <w:tcPr>
            <w:tcW w:type="dxa" w:w="1930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29.1</w:t>
            </w:r>
          </w:p>
        </w:tc>
        <w:tc>
          <w:tcPr>
            <w:tcW w:type="dxa" w:w="1930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28.6</w:t>
            </w:r>
          </w:p>
        </w:tc>
        <w:tc>
          <w:tcPr>
            <w:tcW w:type="dxa" w:w="1930"/>
          </w:tcPr>
          <w:p>
            <w:pPr>
              <w:spacing w:before="40" w:after="40" w:lineRule="auto" w:line="240"/>
            </w:pPr>
            <w:r>
              <w:rPr>
                <w:b/>
                <w:sz w:val="18"/>
              </w:rPr>
              <w:t>4005</w:t>
            </w:r>
          </w:p>
        </w:tc>
      </w:tr>
    </w:tbl>
    <w:p>
      <w:pPr>
        <w:spacing w:before="40" w:after="120" w:lineRule="auto" w:line="276"/>
      </w:pPr>
      <w:r>
        <w:rPr>
          <w:i/>
          <w:sz w:val="18"/>
        </w:rPr>
        <w:t>Embedded efficiency, Jetson AGX Orin FP16 (manuscript Table 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Rule="auto" w:line="276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