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recruitment operations.</w:t>
      </w:r>
    </w:p>
    <w:p>
      <w:r>
        <w:rPr>
          <w:b w:val="0"/>
          <w:i w:val="0"/>
          <w:color w:val="111111"/>
          <w:sz w:val="20"/>
        </w:rPr>
        <w:t>Phase 6 — target-scaffold + lint gate + skill-pack-rewrite verification on Contractor.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recruitment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ffd96b64e371a49bad27cdc48fc569add5f69ca5581557f702c4b0ea38a36207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0e9e9287a9dd2fbf70674d7b546688e650459f22c4b41ebc19f903b3f919e9c7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