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Kotlin to Go Modernization — Kotlin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Kotlin Modernization Skill Pack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Primary language</w:t>
      </w:r>
      <w:r>
        <w:rPr>
          <w:sz w:val="22"/>
          <w:szCs w:val="22"/>
        </w:rPr>
        <w:t xml:space="preserve">: spring_boot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Build tool</w:t>
      </w:r>
      <w:r>
        <w:rPr>
          <w:sz w:val="22"/>
          <w:szCs w:val="22"/>
        </w:rPr>
        <w:t xml:space="preserve">: gradle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Project name</w:t>
      </w:r>
      <w:r>
        <w:rPr>
          <w:sz w:val="22"/>
          <w:szCs w:val="22"/>
        </w:rPr>
        <w:t xml:space="preserve">: realworld-spring-webflux-kt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4,217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 scanned</w:t>
      </w:r>
      <w:r>
        <w:rPr>
          <w:sz w:val="22"/>
          <w:szCs w:val="22"/>
        </w:rPr>
        <w:t xml:space="preserve">: 66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Components</w:t>
      </w:r>
      <w:r>
        <w:rPr>
          <w:sz w:val="22"/>
          <w:szCs w:val="22"/>
        </w:rPr>
        <w:t xml:space="preserve">: 7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Gradle dependencies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Routes</w:t>
      </w:r>
      <w:r>
        <w:rPr>
          <w:sz w:val="22"/>
          <w:szCs w:val="22"/>
        </w:rPr>
        <w:t xml:space="preserve">: 19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Symbols indexed</w:t>
      </w:r>
      <w:r>
        <w:rPr>
          <w:sz w:val="22"/>
          <w:szCs w:val="22"/>
        </w:rPr>
        <w:t xml:space="preserve">: 253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Classes</w:t>
      </w:r>
      <w:r>
        <w:rPr>
          <w:sz w:val="22"/>
          <w:szCs w:val="22"/>
        </w:rPr>
        <w:t xml:space="preserve">: 8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Interfaces</w:t>
      </w:r>
      <w:r>
        <w:rPr>
          <w:sz w:val="22"/>
          <w:szCs w:val="22"/>
        </w:rPr>
        <w:t xml:space="preserve">: 6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Functions</w:t>
      </w:r>
      <w:r>
        <w:rPr>
          <w:sz w:val="22"/>
          <w:szCs w:val="22"/>
        </w:rPr>
        <w:t xml:space="preserve">: 188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Objects</w:t>
      </w:r>
      <w:r>
        <w:rPr>
          <w:sz w:val="22"/>
          <w:szCs w:val="22"/>
        </w:rPr>
        <w:t xml:space="preserve">: 2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Module Topology</w:t>
      </w:r>
    </w:p>
    <w:p>
      <w:pPr>
        <w:spacing w:after="80" w:before="80"/>
      </w:pPr>
      <w:r>
        <w:rPr>
          <w:sz w:val="22"/>
          <w:szCs w:val="22"/>
        </w:rPr>
        <w:t xml:space="preserve">Kotlin applications are composed of Gradle modules — each module is a unit of build, testing, and deployment. The table below shows every module detected in the source tree, classified by architectural role.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Name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LOC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Stack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kotlin::domain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Domain and Model Layer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kotlin_domain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597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vb6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kotlin::support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Shared Kotlin Support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kotlin_support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1081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vb6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kotlin::controllers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Controllers and API Surface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kotlin_controllers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368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vb6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kotlin::repositories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Repositories and Data Access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kotlin_repositories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147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vb6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kotlin::config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Application and Configuration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kotlin_config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vb6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kotlin::services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 Layer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kotlin_services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263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vb6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other::support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Support Artifacts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support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generic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Domain Entities (Classes)</w:t>
      </w:r>
    </w:p>
    <w:p>
      <w:pPr>
        <w:spacing w:after="80" w:before="80"/>
      </w:pPr>
      <w:r>
        <w:rPr>
          <w:sz w:val="22"/>
          <w:szCs w:val="22"/>
        </w:rPr>
        <w:t xml:space="preserve">Classes extracted from the Kotlin source. These are the data structures and business objects that define the domain model — entities like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Account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Customer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Transaction</w:t>
      </w:r>
      <w:r>
        <w:rPr>
          <w:sz w:val="22"/>
          <w:szCs w:val="22"/>
        </w:rPr>
        <w:t xml:space="preserve"> drive the persistence and API contracts of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Line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SpringWebfluxKtApplication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src/main/kotlin/com/realworld/springmongo/SpringWebfluxKtApp…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Article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src/main/kotlin/com/realworld/springmongo/article/Article.kt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src/main/kotlin/com/realworld/springmongo/article/Comment.kt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InvalidRequestException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src/main/kotlin/com/realworld/springmongo/exceptions/Invalid…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OffsetBasedPageable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src/main/kotlin/com/realworld/springmongo/lib/OffsetBasedPag…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src/main/kotlin/com/realworld/springmongo/user/User.kt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NotBlankOrNull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src/main/kotlin/com/realworld/springmongo/validation/NotBlan…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NotBlankOrNullValidator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src/main/kotlin/com/realworld/springmongo/validation/NotBlan…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Interfaces (API contracts)</w:t>
      </w:r>
    </w:p>
    <w:p>
      <w:pPr>
        <w:spacing w:after="80" w:before="80"/>
      </w:pPr>
      <w:r>
        <w:rPr>
          <w:sz w:val="22"/>
          <w:szCs w:val="22"/>
        </w:rPr>
        <w:t xml:space="preserve">Kotlin interfaces often define contracts at module boundaries — Retrofit API surfaces, repository contracts, DI module interfaces. Each interface is a seam where the target-platform equivalent must be selected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Interface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ArticleManualRepository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src/main/kotlin/com/realworld/springmongo/article/repository…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ArticleRepository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src/main/kotlin/com/realworld/springmongo/article/repository…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EndpointsSecurityConfig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com.realworld.springmongo.security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src/main/kotlin/com/realworld/springmongo/security/SecurityC…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TagRepository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src/main/kotlin/com/realworld/springmongo/article/repository…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UserRepository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src/main/kotlin/com/realworld/springmongo/user/UserRepositor…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UserTokenProvider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src/main/kotlin/com/realworld/springmongo/user/UserTokenProv…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Objects &amp; Singletons</w:t>
      </w:r>
    </w:p>
    <w:p>
      <w:pPr>
        <w:spacing w:after="80" w:before="80"/>
      </w:pPr>
      <w:r>
        <w:rPr>
          <w:sz w:val="22"/>
          <w:szCs w:val="22"/>
        </w:rPr>
        <w:t xml:space="preserve">Kotlin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object</w:t>
      </w:r>
      <w:r>
        <w:rPr>
          <w:sz w:val="22"/>
          <w:szCs w:val="22"/>
        </w:rPr>
        <w:t xml:space="preserve"> declarations (singletons, companion objects, DI components). These often hold global state or DI wiring — they need explicit handling during migration to ensure the target platform's DI model is respected.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Kind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ArticleSamples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src/test/kotlin/helpers/ArticleSamples.kt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UserSamples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src/test/kotlin/helpers/UserSamples.kt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Retrofit / HTTP Endpoints</w:t>
      </w:r>
    </w:p>
    <w:p>
      <w:pPr>
        <w:spacing w:after="80" w:before="80"/>
      </w:pPr>
      <w:r>
        <w:rPr>
          <w:sz w:val="22"/>
          <w:szCs w:val="22"/>
        </w:rPr>
        <w:t xml:space="preserve">Endpoints declared via Retrofit annotations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@GET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@POST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@PUT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@DELETE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@PATCH</w:t>
      </w:r>
      <w:r>
        <w:rPr>
          <w:sz w:val="22"/>
          <w:szCs w:val="22"/>
        </w:rPr>
        <w:t xml:space="preserve">). Each row is an HTTP contract the app consumes — preserving these during migration is critical for wire-level parity with upstream services.</w:t>
      </w:r>
    </w:p>
    <w:p>
      <w:pPr>
        <w:spacing w:after="80" w:before="80"/>
      </w:pPr>
      <w:r>
        <w:rPr>
          <w:sz w:val="22"/>
          <w:szCs w:val="22"/>
        </w:rPr>
        <w:t xml:space="preserve">*No Retrofit endpoints detected. This codebase may not consume HTTP APIs, or annotations may not be captured by the extractor.*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Dependency Injection Modules</w:t>
      </w:r>
    </w:p>
    <w:p>
      <w:pPr>
        <w:spacing w:after="80" w:before="80"/>
      </w:pPr>
      <w:r>
        <w:rPr>
          <w:sz w:val="22"/>
          <w:szCs w:val="22"/>
        </w:rPr>
        <w:t xml:space="preserve">Hilt / Dagger DI modules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@Module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@InstallIn</w:t>
      </w:r>
      <w:r>
        <w:rPr>
          <w:sz w:val="22"/>
          <w:szCs w:val="22"/>
        </w:rPr>
        <w:t xml:space="preserve">). Each module declares bindings that need an equivalent in the target-platform DI framework per DEC-KOTLIN-DI-001.</w:t>
      </w:r>
    </w:p>
    <w:p>
      <w:pPr>
        <w:spacing w:after="80" w:before="80"/>
      </w:pPr>
      <w:r>
        <w:rPr>
          <w:sz w:val="22"/>
          <w:szCs w:val="22"/>
        </w:rPr>
        <w:t xml:space="preserve">*No DI modules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Room Entities &amp; DAOs</w:t>
      </w:r>
    </w:p>
    <w:p>
      <w:pPr>
        <w:spacing w:after="80" w:before="80"/>
      </w:pPr>
      <w:r>
        <w:rPr>
          <w:sz w:val="22"/>
          <w:szCs w:val="22"/>
        </w:rPr>
        <w:t xml:space="preserve">Room persistence: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@Entity</w:t>
      </w:r>
      <w:r>
        <w:rPr>
          <w:sz w:val="22"/>
          <w:szCs w:val="22"/>
        </w:rPr>
        <w:t xml:space="preserve"> data classes and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@Dao</w:t>
      </w:r>
      <w:r>
        <w:rPr>
          <w:sz w:val="22"/>
          <w:szCs w:val="22"/>
        </w:rPr>
        <w:t xml:space="preserve"> interfaces. Migration decisions around DEC-KOTLIN-DB-001 (persistence strategy) directly affect every row here.</w:t>
      </w:r>
    </w:p>
    <w:p>
      <w:pPr>
        <w:spacing w:after="80" w:before="80"/>
      </w:pPr>
      <w:r>
        <w:rPr>
          <w:sz w:val="22"/>
          <w:szCs w:val="22"/>
        </w:rPr>
        <w:t xml:space="preserve">*No Room entities or DAOs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10. API Surface — Routes (from java_route_inventory_v1)</w:t>
      </w:r>
    </w:p>
    <w:p>
      <w:pPr>
        <w:spacing w:after="80" w:before="80"/>
      </w:pPr>
      <w:r>
        <w:rPr>
          <w:sz w:val="22"/>
          <w:szCs w:val="22"/>
        </w:rPr>
        <w:t xml:space="preserve">HTTP routes exposed by controllers / Retrofit interfaces. These are the contract boundaries that must be preserved (or explicitly re-designed)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Method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src/main/kotlin/com/realworld/springmongo/api/ArticleControl…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src/main/kotlin/com/realworld/springmongo/api/ArticleControl…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src/main/kotlin/com/realworld/springmongo/api/ArticleControl…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src/main/kotlin/com/realworld/springmongo/api/ArticleControl…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src/main/kotlin/com/realworld/springmongo/api/ArticleControl…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src/main/kotlin/com/realworld/springmongo/api/ArticleControl…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src/main/kotlin/com/realworld/springmongo/api/ArticleControl…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src/main/kotlin/com/realworld/springmongo/api/ArticleControl…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src/main/kotlin/com/realworld/springmongo/api/ArticleControl…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src/main/kotlin/com/realworld/springmongo/api/ArticleControl…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src/main/kotlin/com/realworld/springmongo/api/ArticleControl…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src/main/kotlin/com/realworld/springmongo/api/ArticleControl…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src/main/kotlin/com/realworld/springmongo/api/UserController…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src/main/kotlin/com/realworld/springmongo/api/UserController…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src/main/kotlin/com/realworld/springmongo/api/UserController…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src/main/kotlin/com/realworld/springmongo/api/UserController…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src/main/kotlin/com/realworld/springmongo/api/UserController…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src/main/kotlin/com/realworld/springmongo/api/UserController…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src/main/kotlin/com/realworld/springmongo/api/UserController…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Business Flow &amp; Calculations</w:t>
      </w:r>
    </w:p>
    <w:p>
      <w:pPr>
        <w:spacing w:after="80" w:before="80"/>
      </w:pPr>
      <w:r>
        <w:rPr>
          <w:sz w:val="22"/>
          <w:szCs w:val="22"/>
        </w:rPr>
        <w:t xml:space="preserve">Business logic extracted from Kotlin source — organized by module capability. Each flow documents its trigger, key steps, and data touchpoints.</w:t>
      </w:r>
    </w:p>
    <w:p>
      <w:pPr>
        <w:spacing w:after="80" w:before="80"/>
      </w:pPr>
      <w:r>
        <w:rPr>
          <w:sz w:val="22"/>
          <w:szCs w:val="22"/>
        </w:rPr>
        <w:t xml:space="preserve">*No data available.*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Kotlin codebase. These must be preserved (or explicitly revised with stakeholder sign-off) during migration.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data_persistence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Articles must be stored in the database with a unique identifier.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Article Management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ArticleRepository.kt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BR-002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input must be validated for registration and login.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Management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UserController.kt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User Authentication and Authorization (P0)</w:t>
      </w:r>
    </w:p>
    <w:p>
      <w:pPr>
        <w:spacing w:after="80" w:before="80"/>
      </w:pPr>
      <w:r>
        <w:rPr>
          <w:sz w:val="22"/>
          <w:szCs w:val="22"/>
        </w:rPr>
        <w:t xml:space="preserve">Implement user authentication and authorization in Go, ensuring compatibility with existing JWT-based security.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login and registration endpoints function as expected.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JWT tokens are correctly generated and validated.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Access control is enforced based on user roles.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Article Management (P0)</w:t>
      </w:r>
    </w:p>
    <w:p>
      <w:pPr>
        <w:spacing w:after="80" w:before="80"/>
      </w:pPr>
      <w:r>
        <w:rPr>
          <w:sz w:val="22"/>
          <w:szCs w:val="22"/>
        </w:rPr>
        <w:t xml:space="preserve">Re-implement article management functionalities, including CRUD operations, in Go.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create, read, update, and delete articles.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Article data is correctly persisted and retrieved.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 endpoints for articles match existing contracts.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Comment Management (P1)</w:t>
      </w:r>
    </w:p>
    <w:p>
      <w:pPr>
        <w:spacing w:after="80" w:before="80"/>
      </w:pPr>
      <w:r>
        <w:rPr>
          <w:sz w:val="22"/>
          <w:szCs w:val="22"/>
        </w:rPr>
        <w:t xml:space="preserve">Migrate comment management features to Go, maintaining current functionality.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add, edit, and delete comments on articles.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Comments are correctly associated with articles.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 endpoints for comments are consistent with existing ones.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User Profile Management (P1)</w:t>
      </w:r>
    </w:p>
    <w:p>
      <w:pPr>
        <w:spacing w:after="80" w:before="80"/>
      </w:pPr>
      <w:r>
        <w:rPr>
          <w:sz w:val="22"/>
          <w:szCs w:val="22"/>
        </w:rPr>
        <w:t xml:space="preserve">Implement user profile management in Go, ensuring data integrity and consistency.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view and update their profiles.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Profile data is securely stored and retrieved.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 contracts for user profiles remain unchanged.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Persistent Storage Integration (P0)</w:t>
      </w:r>
    </w:p>
    <w:p>
      <w:pPr>
        <w:spacing w:after="80" w:before="80"/>
      </w:pPr>
      <w:r>
        <w:rPr>
          <w:sz w:val="22"/>
          <w:szCs w:val="22"/>
        </w:rPr>
        <w:t xml:space="preserve">Update persistent storage solutions to be compatible with Go.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is correctly stored and retrieved using the new storage solution.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Migration scripts are provided for data transition.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Performance benchmarks meet or exceed current levels.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Non-Functional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NFR-001 — Performance Optimization (performance)</w:t>
      </w:r>
    </w:p>
    <w:p>
      <w:pPr>
        <w:spacing w:after="80" w:before="80"/>
      </w:pPr>
      <w:r>
        <w:rPr>
          <w:sz w:val="22"/>
          <w:szCs w:val="22"/>
        </w:rPr>
        <w:t xml:space="preserve">Ensure the Go application performs at least as well as the Kotlin version under load.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Performance tests show response times under 2 seconds.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Load tests simulate peak user activity without degradation.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Resource usage is optimized for Go.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NFR-002 — Security Compliance (security)</w:t>
      </w:r>
    </w:p>
    <w:p>
      <w:pPr>
        <w:spacing w:after="80" w:before="80"/>
      </w:pPr>
      <w:r>
        <w:rPr>
          <w:sz w:val="22"/>
          <w:szCs w:val="22"/>
        </w:rPr>
        <w:t xml:space="preserve">Ensure the Go application adheres to security best practices.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scans show no critical vulnerabilities.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sensitive data is encrypted in transit and at rest.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Access controls are verified and documented.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NFR-003 — Scalability (scalability)</w:t>
      </w:r>
    </w:p>
    <w:p>
      <w:pPr>
        <w:spacing w:after="80" w:before="80"/>
      </w:pPr>
      <w:r>
        <w:rPr>
          <w:sz w:val="22"/>
          <w:szCs w:val="22"/>
        </w:rPr>
        <w:t xml:space="preserve">The application should scale to handle increased load without performance loss.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Scalability tests confirm handling of 1000 concurrent users.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significant increase in response time under load.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Infrastructure supports horizontal scaling.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NFR-004 — Observability and Monitoring (observability)</w:t>
      </w:r>
    </w:p>
    <w:p>
      <w:pPr>
        <w:spacing w:after="80" w:before="80"/>
      </w:pPr>
      <w:r>
        <w:rPr>
          <w:sz w:val="22"/>
          <w:szCs w:val="22"/>
        </w:rPr>
        <w:t xml:space="preserve">Implement observability features to monitor application health and performance.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critical operations are logged.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dashboards provide real-time insights.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critical failures.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NFR-005 — Documentation Quality (usability)</w:t>
      </w:r>
    </w:p>
    <w:p>
      <w:pPr>
        <w:spacing w:after="80" w:before="80"/>
      </w:pPr>
      <w:r>
        <w:rPr>
          <w:sz w:val="22"/>
          <w:szCs w:val="22"/>
        </w:rPr>
        <w:t xml:space="preserve">Ensure all documentation is comprehensive and up-to-date.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reviewed and approved by stakeholders.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Guides are available for all major features.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accessible and easy to understand.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Blocking Decisions</w:t>
      </w:r>
    </w:p>
    <w:p>
      <w:pPr>
        <w:spacing w:after="80" w:before="80"/>
      </w:pPr>
      <w:r>
        <w:rPr>
          <w:sz w:val="22"/>
          <w:szCs w:val="22"/>
        </w:rPr>
        <w:t xml:space="preserve">Architectural decisions that must be resolved before migration can begin. Each choice has downstream impact on module extraction, API contracts, and delivery sequencing.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Question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DEC-KOTLIN-TARGET-001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platform for the modernized Kotlin codebase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2.x on JVM · Go domain service + retained Android client · Full client/backend decomposition · Language port (Kotlin → Java / TypeScript)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downstream decision (DI model, persistence, HTTP surface) depends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DEC-KOTLIN-DI-001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injection framework on the modernized stack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Retain Hilt/Dagger · Migrate to Koin · Replace with target-platform DI (Spring, Wire, etc.) · Manual constructor injection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 wiring at scale is impractical without a DI strategy — legacy modules cannot be extracted cleanly.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DEC-KOTLIN-DB-001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Persistence strategy for Kotlin modernization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Room/SQLDelight (Android) · Keep Exposed/JPA (server) · Migrate to target-stack ORM · Hybrid — legacy keeps its DB, new modules use target stack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Database contracts drive every data-touching module — getting this wrong forces large rewrites.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DEC-KOTLIN-HTTP-001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client / server replacement strategy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Retrofit + OkHttp · Migrate to Ktor · Replace with target-platform HTTP library · Extract network layer to separate service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Network-layer decisions affect every API consumer and server endpoint.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DEC-KOTLIN-ASYNC-001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Concurrency / async model on the target platform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Retain Kotlin coroutines · Port to target-platform async (CompletableFuture, async/await) · Replace with reactive streams · Redesign to synchronous + worker pool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Suspend functions and Flow pipelines have no automatic equivalent — every async boundary needs explicit decisions.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10. Migration Strategy</w:t>
      </w:r>
    </w:p>
    <w:p>
      <w:pPr>
        <w:spacing w:after="80" w:before="80"/>
      </w:pPr>
      <w:r>
        <w:rPr>
          <w:sz w:val="22"/>
          <w:szCs w:val="22"/>
        </w:rPr>
        <w:t xml:space="preserve">Phased approach for modernizing the Kotlin application. Each phase has clear entry and exit criteria.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Dependency &amp; Schema Freeze</w:t>
      </w:r>
    </w:p>
    <w:p>
      <w:pPr>
        <w:spacing w:after="80" w:before="80"/>
      </w:pPr>
      <w:r>
        <w:rPr>
          <w:sz w:val="22"/>
          <w:szCs w:val="22"/>
        </w:rPr>
        <w:t xml:space="preserve">Lock the Gradle dependency set (0 third-party libraries) and any persistence schemas. Document every external contract before migration begins — this becomes the parity baseline.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Module Extraction</w:t>
      </w:r>
    </w:p>
    <w:p>
      <w:pPr>
        <w:spacing w:after="80" w:before="80"/>
      </w:pPr>
      <w:r>
        <w:rPr>
          <w:sz w:val="22"/>
          <w:szCs w:val="22"/>
        </w:rPr>
        <w:t xml:space="preserve">Extract the 7 modules in dependency order: leaf modules first (no dependents), then inner modules. Each extraction includes a contract test proving no behavioral drift.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2 — API Surface Migration</w:t>
      </w:r>
    </w:p>
    <w:p>
      <w:pPr>
        <w:spacing w:after="80" w:before="80"/>
      </w:pPr>
      <w:r>
        <w:rPr>
          <w:sz w:val="22"/>
          <w:szCs w:val="22"/>
        </w:rPr>
        <w:t xml:space="preserve">Migrate each of the 19 API routes behind a façade: old and new endpoints run side-by-side during cut-over, with shadow-traffic comparisons confirming parity.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Async &amp; Coroutine Migration</w:t>
      </w:r>
    </w:p>
    <w:p>
      <w:pPr>
        <w:spacing w:after="80" w:before="80"/>
      </w:pPr>
      <w:r>
        <w:rPr>
          <w:sz w:val="22"/>
          <w:szCs w:val="22"/>
        </w:rPr>
        <w:t xml:space="preserve">Port suspend functions and Flow pipelines to the target concurrency model. Structural concurrency boundaries need explicit reasoning — not a mechanical rewrite.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Dependency Injection &amp; Wiring</w:t>
      </w:r>
    </w:p>
    <w:p>
      <w:pPr>
        <w:spacing w:after="80" w:before="80"/>
      </w:pPr>
      <w:r>
        <w:rPr>
          <w:sz w:val="22"/>
          <w:szCs w:val="22"/>
        </w:rPr>
        <w:t xml:space="preserve">Replace Hilt/Dagger/Koin wiring per DEC-KOTLIN-DI-001. Modules should be constructor-injectable after this phase — no service-locator patterns.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5 — Platform Primitives &amp; Observability</w:t>
      </w:r>
    </w:p>
    <w:p>
      <w:pPr>
        <w:spacing w:after="80" w:before="80"/>
      </w:pPr>
      <w:r>
        <w:rPr>
          <w:sz w:val="22"/>
          <w:szCs w:val="22"/>
        </w:rPr>
        <w:t xml:space="preserve">Replace Kotlin-specific primitives (data classes, sealed classes, extension functions) with target-platform equivalents. Re-instrument logging, metrics, and tracing on the new stack.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11.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 to new storage solutions.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data migration testing and validation.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vulnerabilities during transition to new authentication mechanisms.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security audits and implement best practices for Go.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Lack of familiarity with Go among current development team.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Provide training and resources for Go development.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to Go Modernization — Kotlin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2026-05-19T01:44:27.120Z</dcterms:created>
  <dcterms:modified xsi:type="dcterms:W3CDTF">2026-05-19T01:44:27.120Z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