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Modernization</w:t>
      </w:r>
    </w:p>
    <w:p>
      <w:r>
        <w:rPr>
          <w:b w:val="0"/>
          <w:color w:val="111827"/>
          <w:sz w:val="20"/>
        </w:rPr>
        <w:t>A comprehensive guide to modernizing the contractor management system with a focus on language hardening and legacy code seeding.</w:t>
      </w:r>
    </w:p>
    <w:p>
      <w:r>
        <w:rPr>
          <w:b w:val="0"/>
          <w:color w:val="6B7280"/>
          <w:sz w:val="18"/>
        </w:rPr>
        <w:t>Run 20260512_213132_3ad599a7  ·  Generated 2026-05-12T21:32:10.187328+00:00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modernization project, highlighting objectives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contractor management system with specific focus on language hardening, seeding legacy code, and implementing a refusal protocol.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Contractor Modernization project aims to transform the contractor management system by focusing on language hardening, seeding legacy code, and implementing a refusal protocol. Utilizing the Strangler Fig Pattern, the project will gradually replace legacy components to minimize disruption. The modernization process is divided into three phases: Baseline and equivalence harness, Incremental migration and dependency replacement, and Hardening and release evidence. Each phase is designed to ensure a smooth transition while maintaining system integrity.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contractor management with language hardening.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legacy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Focus: Minimize disruption and ensure system integrity.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of 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Alert: </w:t>
      </w:r>
      <w:r>
        <w:rPr>
          <w:b w:val="0"/>
          <w:color w:val="111827"/>
          <w:sz w:val="18"/>
        </w:rPr>
        <w:t>High risk tier identified; readiness score is 0.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with minimal disruption.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out dependencies to identify potential risks and manage migration effectively.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forms to be migrated, ensuring accurate tracking and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contractor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golden flows to establish baselines for system functionality.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all changes are traceable to maintain accountability and transparency.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Organizing work into sprints to manage progress and adapt to changes efficiently.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mitigating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migration testing and validation.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Integration issues with external services.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integration testing with all external services.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artifact://legacy_inventory/1.0/art_legacy_inventory_34312862bbac4637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artifact://repo_landscape/1.0/art_repo_landscape_8908658ce4aa4da2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artifact://scope_lock/1.0/art_scope_lock_a87bb7cc59f24a87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artifact://variant_inventory/1.0/art_variant_inventory_3ae79cfed0f74c80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artifact://event_map/1.0/art_event_map_2a0fc658b4d9459d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artifact://sql_catalog/1.0/art_sql_catalog_730fa2e31065477d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artifact://sql_map/1.0/art_sql_map_5e1344d7a45a411d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artifact://data_access_map/1.0/art_data_access_map_7120eae0b8b84474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artifact://recordset_ops/1.0/art_recordset_ops_f7f80f3571074c86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artifact://procedure_summary/1.0/art_procedure_summary_2c0f7a880f7243dd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artifact://form_dossier/1.0/art_form_dossier_279928ba7dc84efe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artifact://dependency_inventory/1.0/art_dependency_inventory_1b21eada9ce948f6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artifact://dependency_inventory/1.0/art_dependency_inventory_1b21eada9ce948f6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artifact://business_rule_catalog/1.0/art_business_rule_catalog_550d83e313a7436d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artifact://detector_findings/1.0/art_detector_findings_e978a6218e5c4816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artifact://risk_register/1.0/art_risk_register_73cbcc8a018843f9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artifact://orphan_analysis/1.0/art_orphan_analysis_a3b514f371dd4db1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artifact://delivery_constitution/1.0/art_delivery_constitution_110aaf0a836048a3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artifact://variant_diff_report/1.0/art_variant_diff_report_e1d5f9a35fbe475c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artifact://reporting_model/1.0/art_reporting_model_76771fb0fa4e4418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artifact://identity_access_model/1.0/art_identity_access_model_421228e92e634901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artifact://discover_review_checklist/1.0/art_discover_review_checklist_6828fc02414a4eba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artifact://artifact_index/1.0/art_artifact_index_fe116dd45fac4279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runctx://runctx-b626529ac1aff31f/kctx-0f4b7e7e4cb3a338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runctx://runctx-b626529ac1aff31f/delivery_constitution/const-68455f41b936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