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- Full Stack Verification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Phased modernization strategy with baseline verification, incremental migration, and hardening phases for medium-risk legacy system transformation</w:t>
      </w:r>
    </w:p>
    <w:p>
      <w:r>
        <w:rPr>
          <w:b w:val="0"/>
          <w:color w:val="6B7280"/>
          <w:sz w:val="18"/>
        </w:rPr>
        <w:t>Run 20260513_093244_a545d998  ·  Generated 2026-05-13T09:34:10.299492+00:00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High-level overview of modernization scope, readiness metrics, and strategic approach for legacy system transformation with current 60% readiness baseline.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Full stack verification — JWM context + helper context + DP guards + critic re-run + adopt-mode auto-ack on Contractor.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This workbook outlines a comprehensive three-phase modernization approach for legacy system transformation. Phase 0 establishes baseline equivalence harnesses and captures golden flows. Phase 1 executes incremental migration with dependency risk controls. Phase 2 focuses on hardening and release evidence compilation. The strategy prioritizes behavior preservation before modernization, ensuring controlled transformation with a current readiness score of 60% and medium risk classification.</w:t>
      </w:r>
    </w:p>
    <w:p>
      <w:pPr>
        <w:pStyle w:val="ListParagraph"/>
      </w:pPr>
      <w:r>
        <w:rPr>
          <w:b w:val="0"/>
          <w:color w:val="111827"/>
          <w:sz w:val="18"/>
        </w:rPr>
        <w:t>- Three-phase modernization strategy balances risk control with transformation velocity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of 60% indicates moderate preparation with medium risk tier classification</w:t>
      </w:r>
    </w:p>
    <w:p>
      <w:pPr>
        <w:pStyle w:val="ListParagraph"/>
      </w:pPr>
      <w:r>
        <w:rPr>
          <w:b w:val="0"/>
          <w:color w:val="111827"/>
          <w:sz w:val="18"/>
        </w:rPr>
        <w:t>- Baseline equivalence harness captures golden flows before any migration activities begin</w:t>
      </w:r>
    </w:p>
    <w:p>
      <w:pPr>
        <w:pStyle w:val="ListParagraph"/>
      </w:pPr>
      <w:r>
        <w:rPr>
          <w:b w:val="0"/>
          <w:color w:val="111827"/>
          <w:sz w:val="18"/>
        </w:rPr>
        <w:t>- Incremental migration approach minimizes disruption through controlled dependency replacement</w:t>
      </w:r>
    </w:p>
    <w:p>
      <w:pPr>
        <w:pStyle w:val="ListParagraph"/>
      </w:pPr>
      <w:r>
        <w:rPr>
          <w:b w:val="0"/>
          <w:color w:val="111827"/>
          <w:sz w:val="18"/>
        </w:rPr>
        <w:t>- Comprehensive quality gates and evidence pack ensure release readiness and compliance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Gap: </w:t>
      </w:r>
      <w:r>
        <w:rPr>
          <w:b w:val="0"/>
          <w:color w:val="111827"/>
          <w:sz w:val="18"/>
        </w:rPr>
        <w:t>Current 60% readiness score requires additional preparation before Phase 1 migration activities can commence safely</w:t>
      </w:r>
    </w:p>
    <w:p>
      <w:r>
        <w:rPr>
          <w:b/>
          <w:color w:val="2E75B6"/>
          <w:sz w:val="18"/>
        </w:rPr>
        <w:t xml:space="preserve">Risk Classification: </w:t>
      </w:r>
      <w:r>
        <w:rPr>
          <w:b w:val="0"/>
          <w:color w:val="111827"/>
          <w:sz w:val="18"/>
        </w:rPr>
        <w:t>Medium risk tier demands enhanced monitoring and validation protocols throughout all modernization phases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Comprehensive mapping of system dependencies, integration points, and risk factors affecting migration sequencing and phase planning decisions.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documentation of application forms, user interfaces, and interaction patterns requiring preservation during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End-to-end process flows and golden path documentation establishing baseline behavior for equivalence validation and testing.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Requirements traceability matrix linking legacy functionality to modernized components ensuring complete coverage and validation.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Sprint planning framework aligned with three-phase strategy including baseline, migration, and hardening activities with defined exit criteria.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Risk assessment matrix covering technical, operational, and business risks with mitigation strategies for medium-tier classification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artifact://legacy_inventory/1.0/art_legacy_inventory_b231190573a045b4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artifact://repo_landscape/1.0/art_repo_landscape_2fc7513700444c76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artifact://scope_lock/1.0/art_scope_lock_b6220cdfe3454b73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artifact://variant_inventory/1.0/art_variant_inventory_38ba570d55b041aa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artifact://event_map/1.0/art_event_map_28d98a982d934b0e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artifact://sql_catalog/1.0/art_sql_catalog_0b18a20236924f9d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artifact://sql_map/1.0/art_sql_map_0f2b1ca40c5c4114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artifact://data_access_map/1.0/art_data_access_map_120f9fd84f5d4e5a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artifact://recordset_ops/1.0/art_recordset_ops_72432bc37c844439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artifact://procedure_summary/1.0/art_procedure_summary_ce9053a65bb44c7d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artifact://form_dossier/1.0/art_form_dossier_d9205c191b53435c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artifact://dependency_inventory/1.0/art_dependency_inventory_2bd64a08a4ca4e3e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artifact://dependency_inventory/1.0/art_dependency_inventory_2bd64a08a4ca4e3e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artifact://business_rule_catalog/1.0/art_business_rule_catalog_967329149ee54a99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artifact://detector_findings/1.0/art_detector_findings_2ca1b144acc646ce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artifact://risk_register/1.0/art_risk_register_ef0ee08ecabd4635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artifact://orphan_analysis/1.0/art_orphan_analysis_f39d2563551f4dde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artifact://delivery_constitution/1.0/art_delivery_constitution_d640554ce8cf468a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artifact://variant_diff_report/1.0/art_variant_diff_report_aa8e9749bb24479a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artifact://reporting_model/1.0/art_reporting_model_0183f8df3bf24a8f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artifact://identity_access_model/1.0/art_identity_access_model_47d5606ba92e404d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artifact://discover_review_checklist/1.0/art_discover_review_checklist_c81a40fcdcd945fb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artifact://artifact_index/1.0/art_artifact_index_317fe5596b1e4a03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runctx://runctx-11aed2415a74f39f/kctx-9902e42d32f8c0bb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runctx://runctx-11aed2415a74f39f/delivery_constitution/const-fc037b2b995a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