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F3864"/>
            <w:shd w:val="clear" w:color="auto" w:fill="1F3864"/>
          </w:tcPr>
          <w:p>
            <w:r/>
            <w:r>
              <w:rPr>
                <w:b/>
                <w:color w:val="FFFFFF"/>
                <w:sz w:val="24"/>
              </w:rPr>
              <w:t>MagicBox Modernization Workbook</w:t>
            </w:r>
          </w:p>
        </w:tc>
      </w:tr>
    </w:tbl>
    <w:p>
      <w:r>
        <w:rPr>
          <w:b/>
          <w:color w:val="1F6B75"/>
          <w:sz w:val="26"/>
        </w:rPr>
        <w:t>MagicBox Modernization</w:t>
      </w:r>
    </w:p>
    <w:p>
      <w:r>
        <w:rPr>
          <w:b w:val="0"/>
          <w:color w:val="111827"/>
          <w:sz w:val="20"/>
        </w:rPr>
        <w:t>Aligning Target Architecture with Canonical Macro Services</w:t>
      </w:r>
    </w:p>
    <w:p>
      <w:r>
        <w:rPr>
          <w:b w:val="0"/>
          <w:color w:val="6B7280"/>
          <w:sz w:val="18"/>
        </w:rPr>
        <w:t>Run 20260512_165141_8448d34e  ·  Generated 2026-05-12T16:52:25.917426+00:00  ·  Repo app</w:t>
      </w:r>
    </w:p>
    <w:p/>
    <w:p>
      <w:pPr>
        <w:pStyle w:val="Heading1"/>
      </w:pPr>
      <w:r>
        <w:t>Executive Snapshot</w:t>
      </w:r>
    </w:p>
    <w:p>
      <w:r>
        <w:rPr>
          <w:b w:val="0"/>
          <w:color w:val="6B7280"/>
          <w:sz w:val="18"/>
        </w:rPr>
        <w:t>Overview of the modernization strategy and current readiness.</w:t>
      </w:r>
    </w:p>
    <w:p>
      <w:r>
        <w:rPr>
          <w:b/>
          <w:color w:val="2E75B6"/>
          <w:sz w:val="20"/>
        </w:rPr>
        <w:t xml:space="preserve">Objective: </w:t>
      </w:r>
      <w:r>
        <w:rPr>
          <w:b w:val="0"/>
          <w:color w:val="111827"/>
          <w:sz w:val="20"/>
        </w:rPr>
        <w:t>Ensure the target architecture services align with canonical macro services such as Customer/Account, Reporting, and Staffing.</w:t>
      </w:r>
    </w:p>
    <w:p>
      <w:r>
        <w:rPr>
          <w:b/>
          <w:color w:val="2E75B6"/>
          <w:sz w:val="20"/>
        </w:rPr>
        <w:t xml:space="preserve">Summary: </w:t>
      </w:r>
      <w:r>
        <w:rPr>
          <w:b w:val="0"/>
          <w:color w:val="111827"/>
          <w:sz w:val="20"/>
        </w:rPr>
        <w:t>Strangler Fig Pattern recommended.</w:t>
      </w:r>
    </w:p>
    <w:p>
      <w:r>
        <w:rPr>
          <w:b w:val="0"/>
          <w:color w:val="111827"/>
          <w:sz w:val="20"/>
        </w:rPr>
        <w:t>The MagicBox Modernization project aims to align target architecture services with canonical macro services such as Customer/Account, Reporting, and Staffing. Utilizing the Strangler Fig Pattern, the strategy involves gradual replacement of legacy components with modern equivalents. The project is structured into three phases: Baseline and equivalence harness, Incremental migration and dependency replacement, and Hardening and release evidence. Each phase is designed to ensure seamless transition while maintaining service integrity.</w:t>
      </w:r>
    </w:p>
    <w:p>
      <w:pPr>
        <w:pStyle w:val="ListParagraph"/>
      </w:pPr>
      <w:r>
        <w:rPr>
          <w:b w:val="0"/>
          <w:color w:val="111827"/>
          <w:sz w:val="18"/>
        </w:rPr>
        <w:t>- Objective: Align services with canonical macro services.</w:t>
      </w:r>
    </w:p>
    <w:p>
      <w:pPr>
        <w:pStyle w:val="ListParagraph"/>
      </w:pPr>
      <w:r>
        <w:rPr>
          <w:b w:val="0"/>
          <w:color w:val="111827"/>
          <w:sz w:val="18"/>
        </w:rPr>
        <w:t>- Strategy: Strangler Fig Pattern for gradual modernization.</w:t>
      </w:r>
    </w:p>
    <w:p>
      <w:pPr>
        <w:pStyle w:val="ListParagraph"/>
      </w:pPr>
      <w:r>
        <w:rPr>
          <w:b w:val="0"/>
          <w:color w:val="111827"/>
          <w:sz w:val="18"/>
        </w:rPr>
        <w:t>- Phases: Baseline, Migration, Hardening.</w:t>
      </w:r>
    </w:p>
    <w:p>
      <w:pPr>
        <w:pStyle w:val="ListParagraph"/>
      </w:pPr>
      <w:r>
        <w:rPr>
          <w:b w:val="0"/>
          <w:color w:val="111827"/>
          <w:sz w:val="18"/>
        </w:rPr>
        <w:t>- Risk Tier: High, with readiness score at 0.</w:t>
      </w:r>
    </w:p>
    <w:p>
      <w:pPr>
        <w:pStyle w:val="ListParagraph"/>
      </w:pPr>
      <w:r>
        <w:rPr>
          <w:b w:val="0"/>
          <w:color w:val="111827"/>
          <w:sz w:val="18"/>
        </w:rPr>
        <w:t>- No current projects, forms, or dependencies.</w:t>
      </w:r>
    </w:p>
    <w:p>
      <w:pPr>
        <w:pStyle w:val="ListParagraph"/>
      </w:pPr>
      <w:r>
        <w:rPr>
          <w:b w:val="0"/>
          <w:color w:val="111827"/>
          <w:sz w:val="18"/>
        </w:rPr>
        <w:t>- Focus on capturing golden flows and baselines.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Readiness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n/a/100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Risk tier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high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Inventory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projects=0, forms=0, dependencies=0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 touchpoints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</w:tr>
    </w:tbl>
    <w:p>
      <w:pPr>
        <w:ind w:left="115"/>
      </w:pPr>
      <w:r>
        <w:rPr>
          <w:b/>
          <w:color w:val="2E75B6"/>
          <w:sz w:val="18"/>
        </w:rPr>
        <w:t xml:space="preserve">Readiness Score: </w:t>
      </w:r>
      <w:r>
        <w:rPr>
          <w:b w:val="0"/>
          <w:color w:val="111827"/>
          <w:sz w:val="18"/>
        </w:rPr>
        <w:t>Current readiness score is 0, indicating no progress.</w:t>
      </w:r>
    </w:p>
    <w:p>
      <w:pPr>
        <w:pStyle w:val="Heading2"/>
      </w:pPr>
      <w:r>
        <w:t>Recommended Modernization Strategy</w:t>
      </w:r>
    </w:p>
    <w:p>
      <w:r>
        <w:rPr>
          <w:b/>
          <w:color w:val="1F6B75"/>
          <w:sz w:val="20"/>
        </w:rPr>
        <w:t xml:space="preserve">Strangler Fig Pattern: </w:t>
      </w:r>
      <w:r>
        <w:rPr>
          <w:b w:val="0"/>
          <w:color w:val="111827"/>
          <w:sz w:val="20"/>
        </w:rPr>
        <w:t>Allows gradual replacement of legacy components with modern equivalents.</w:t>
      </w:r>
    </w:p>
    <w:p>
      <w:pPr>
        <w:pStyle w:val="ListParagraph"/>
      </w:pPr>
      <w:r>
        <w:rPr>
          <w:b/>
          <w:color w:val="2E75B6"/>
          <w:sz w:val="18"/>
        </w:rPr>
        <w:t xml:space="preserve">- PH0 Baseline and equivalence harness: </w:t>
      </w:r>
      <w:r>
        <w:rPr>
          <w:b w:val="0"/>
          <w:color w:val="111827"/>
          <w:sz w:val="18"/>
        </w:rPr>
        <w:t>Capture golden flows and baseline outputs.</w:t>
      </w:r>
    </w:p>
    <w:p>
      <w:pPr>
        <w:pStyle w:val="ListParagraph"/>
      </w:pPr>
      <w:r>
        <w:rPr>
          <w:b/>
          <w:color w:val="2E75B6"/>
          <w:sz w:val="18"/>
        </w:rPr>
        <w:t xml:space="preserve">- PH1 Incremental migration and dependency replacement: </w:t>
      </w:r>
      <w:r>
        <w:rPr>
          <w:b w:val="0"/>
          <w:color w:val="111827"/>
          <w:sz w:val="18"/>
        </w:rPr>
        <w:t>Migrate forms/modules with dependency risk controls.</w:t>
      </w:r>
    </w:p>
    <w:p>
      <w:pPr>
        <w:pStyle w:val="ListParagraph"/>
      </w:pPr>
      <w:r>
        <w:rPr>
          <w:b/>
          <w:color w:val="2E75B6"/>
          <w:sz w:val="18"/>
        </w:rPr>
        <w:t xml:space="preserve">- PH2 Hardening and release evidence: </w:t>
      </w:r>
      <w:r>
        <w:rPr>
          <w:b w:val="0"/>
          <w:color w:val="111827"/>
          <w:sz w:val="18"/>
        </w:rPr>
        <w:t>Finalize quality gates and publish evidence pack.</w:t>
      </w:r>
    </w:p>
    <w:p>
      <w:pPr>
        <w:pStyle w:val="Heading2"/>
      </w:pPr>
      <w:r>
        <w:t>Decisions Required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DEC-ARCH-001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Target application architecture for the modernization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Start with a modular monolith unless there is a clear reason to decompose immediately.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DEC-DB-001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Database contract strategy during migration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Preserve contracts initially and modernize behind a compatibility layer.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DEC-AUTH-001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Authentication / authorization strategy for the modern target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Model current auth behavior first, then move to a clearer standards-based target with explicit compatibility rules.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DEC-IAM-001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Confirm identity/access model (role model, multi-user assumptions, and credential handling).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Define target role model and credential policy before implementation.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Are there existing operational constraints or integration dependencies not listed?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Q-002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What are target latency, throughput, and availability SLOs?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DEC-BDD-001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Ground BDD acceptance criteria in real legacy golden flows before Build planning.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Regenerate BDD from validated golden flows, route evidence, and SQL touchpoints before Build starts.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DEC-COMPLIANCE-001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Confirm the compliance/privacy framework that governs contractor onboarding, placement, and offboarding flows.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Map staffing-domain controls (for example credential handling, audit logging, COBRA/offboarding notifications, and wage/hour or background-screening obligations) into requirements and tests before Build.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DEC-OBS-001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Logging and observability stack for migrated runtime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OpenTelemetry + structured logs for parity troubleshooting.</w:t>
            </w:r>
          </w:p>
        </w:tc>
      </w:tr>
    </w:tbl>
    <w:p>
      <w:pPr>
        <w:pStyle w:val="Heading2"/>
      </w:pPr>
      <w:r>
        <w:t>Quality Gates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Gate 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gherkin_syntax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syntax validation for Feature/Scenario/Given/When/Then.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requirements_completeness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Derived backlog coverage below dynamic threshold (1/3) for discovered scope (0 forms).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compliance_constraints_applied</w:t>
            </w:r>
          </w:p>
        </w:tc>
        <w:tc>
          <w:tcPr>
            <w:tcW w:type="dxa" w:w="3360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Verifies that regulatory/software controls are linked to requirements when applicable.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bdd_flow_grounding</w:t>
            </w:r>
          </w:p>
        </w:tc>
        <w:tc>
          <w:tcPr>
            <w:tcW w:type="dxa" w:w="3360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scenarios are not linked to any extracted golden flow.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handler_inventory_completeness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All analyzed forms meet handler coverage threshold.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report_model_reconciled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Reporting model and entrypoints reconciled.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variant_resolution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Single project variant detected; no variant scope decision required.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variant_schema_divergence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cross-variant schema naming divergence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key_safety_issues_identified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 explicit SQL/credential safety signals detected in extracted artifacts. Detection is incomplete and blocks progression.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schema_key_verification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delete-by-customer transaction key hazard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identity_access_model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Role model or credential handling requires confirmation.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database_archaeology_ready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DB QA detected blocking or warning issues in schema reconstruction/mapping.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p>
      <w:pPr>
        <w:pStyle w:val="Heading2"/>
      </w:pPr>
      <w:r>
        <w:t>QA 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Warn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Blockers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Semantic Warn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11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5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QA Gate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Blocking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struct_rule_ids_unique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1 rule IDs validated.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struct_risk_ids_unique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0 risk IDs validated.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struct_risk_ref_integrity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referenced risk IDs are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struct_form_ref_integrity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Unresolved form references detected: Staffing &amp; Recruitment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cross_form_sql_consistency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SQL coverage flags match SQL map evidence.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cross_event_handler_reconciliation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handler count evidence to reconcile (one side missing).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render_open_questions_serialization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Open questions are serialized as structured objects.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render_form_count_fidelity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evidence to compare rendered and discovered form counts.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render_artifact_refs_present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40 artifact references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struct_rollout_artifacts_present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7 rollout artifacts detected.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cross_form_active_orphan_reconciliation</w:t>
            </w:r>
          </w:p>
        </w:tc>
        <w:tc>
          <w:tcPr>
            <w:tcW w:type="dxa" w:w="252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LOC profile is unavailable or empty; reconciliation skipped.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cross_loc_rollup_reconciliation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source_loc_total is missing; LOC reconciliation skipped.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cross_unresolved_nav_registration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Unresolved nav targets tracked: 0.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struct_db_artifacts_present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DB archaeology check skipped — no database scope detected for this run (primary language: unknown, no SQL signals, no integration DB context).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cross_db_query_schema_resolution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query table references resolve to source schema tables.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cross_db_mapping_coverage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Source-&gt;target mapping coverage is 100.00%.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none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LOW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 semantic warnings.</w:t>
            </w:r>
          </w:p>
        </w:tc>
      </w:tr>
    </w:tbl>
    <w:p>
      <w:r>
        <w:br w:type="page"/>
      </w:r>
    </w:p>
    <w:p>
      <w:pPr>
        <w:pStyle w:val="Heading1"/>
      </w:pPr>
      <w:r>
        <w:t>Section O - Project Dependency Map</w:t>
      </w:r>
    </w:p>
    <w:p>
      <w:r>
        <w:rPr>
          <w:b w:val="0"/>
          <w:color w:val="6B7280"/>
          <w:sz w:val="18"/>
        </w:rPr>
        <w:t>Mapping dependencies to ensure seamless migration.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Dependencies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touchpoints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Blocks Sprint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 project dependencies detected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</w:tr>
    </w:tbl>
    <w:p>
      <w:r>
        <w:br w:type="page"/>
      </w:r>
    </w:p>
    <w:p>
      <w:pPr>
        <w:pStyle w:val="Heading1"/>
      </w:pPr>
      <w:r>
        <w:t>Section K - Form Dossiers (Extended)</w:t>
      </w:r>
    </w:p>
    <w:p>
      <w:r>
        <w:rPr>
          <w:b w:val="0"/>
          <w:color w:val="6B7280"/>
          <w:sz w:val="18"/>
        </w:rPr>
        <w:t>Detailed analysis of forms to be migrated.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Display Name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form_type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Inputs (data)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Outputs (effects)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ActiveX used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tables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actions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coverage_score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exclusion_reason</w:t>
            </w:r>
          </w:p>
        </w:tc>
      </w:tr>
    </w:tbl>
    <w:p>
      <w:pPr>
        <w:pStyle w:val="Heading2"/>
      </w:pPr>
      <w:r>
        <w:t>Business Rules by Form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Business Meaning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links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BR-001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Staffing &amp; Recruitment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Presentation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workflow_orchestration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Placement must be approved by an office co-approver before onboarding.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</w:tr>
    </w:tbl>
    <w:p>
      <w:r>
        <w:br w:type="page"/>
      </w:r>
    </w:p>
    <w:p>
      <w:pPr>
        <w:pStyle w:val="Heading1"/>
      </w:pPr>
      <w:r>
        <w:t>Section P - Form Flow Traces</w:t>
      </w:r>
    </w:p>
    <w:p>
      <w:r>
        <w:rPr>
          <w:b w:val="0"/>
          <w:color w:val="6B7280"/>
          <w:sz w:val="18"/>
        </w:rPr>
        <w:t>Capturing golden flows for baseline outputs.</w:t>
      </w:r>
    </w:p>
    <w:p>
      <w:r>
        <w:br w:type="page"/>
      </w:r>
    </w:p>
    <w:p>
      <w:pPr>
        <w:pStyle w:val="Heading1"/>
      </w:pPr>
      <w:r>
        <w:t>Section Q - Form Traceability Matrix</w:t>
      </w:r>
    </w:p>
    <w:p>
      <w:r>
        <w:rPr>
          <w:b w:val="0"/>
          <w:color w:val="6B7280"/>
          <w:sz w:val="18"/>
        </w:rPr>
        <w:t>Ensuring traceability throughout the modernization phases.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has_event_map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has_sql_map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has_business_rules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has_risk_entry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completeness_score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missing_links</w:t>
            </w:r>
          </w:p>
        </w:tc>
      </w:tr>
    </w:tbl>
    <w:p>
      <w:pPr>
        <w:pStyle w:val="Heading1"/>
      </w:pPr>
      <w:r>
        <w:t>Section R - Sprint Dependency Map</w:t>
      </w:r>
    </w:p>
    <w:p>
      <w:r>
        <w:rPr>
          <w:b w:val="0"/>
          <w:color w:val="6B7280"/>
          <w:sz w:val="18"/>
        </w:rPr>
        <w:t>Structured sprints for incremental migration and testing.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Suggested sprint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Depends on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Shared Components Required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Sprint 0 (Discovery closure)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Q.event_map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Close traceability gaps before modernization changes.</w:t>
            </w:r>
          </w:p>
        </w:tc>
      </w:tr>
    </w:tbl>
    <w:p>
      <w:pPr>
        <w:pStyle w:val="Heading1"/>
      </w:pPr>
      <w:r>
        <w:t>Risks Register Snapshot</w:t>
      </w:r>
    </w:p>
    <w:p>
      <w:r>
        <w:rPr>
          <w:b w:val="0"/>
          <w:color w:val="6B7280"/>
          <w:sz w:val="18"/>
        </w:rPr>
        <w:t>Identifying and mitigating risks associated with high-risk tier.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Recommended action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RISK-1</w:t>
            </w:r>
          </w:p>
        </w:tc>
        <w:tc>
          <w:tcPr>
            <w:tcW w:type="dxa" w:w="2520"/>
            <w:shd w:val="clear" w:color="auto" w:fill="FEE2E2"/>
          </w:tcPr>
          <w:p>
            <w:r/>
            <w:r>
              <w:rPr>
                <w:b w:val="0"/>
                <w:color w:val="111827"/>
                <w:sz w:val="16"/>
              </w:rPr>
              <w:t>HIGH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Potential data loss during migration.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Implement thorough data migration testing.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RISK-2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6"/>
              </w:rPr>
              <w:t>MEDIUM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Service downtime during transition.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Plan for phased deployment with rollback options.</w:t>
            </w:r>
          </w:p>
        </w:tc>
      </w:tr>
    </w:tbl>
    <w:p>
      <w:pPr>
        <w:pStyle w:val="Heading2"/>
      </w:pPr>
      <w:r>
        <w:t>Evidence References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Reference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legacy_inventory_ref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artifact://legacy_inventory/1.0/art_legacy_inventory_f3d55c8b53204e17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repo_landscape_ref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artifact://repo_landscape/1.0/art_repo_landscape_924a50fe0c554514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scope_lock_ref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artifact://scope_lock/1.0/art_scope_lock_6624bd1eb0c94822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variant_inventory_ref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artifact://variant_inventory/1.0/art_variant_inventory_8361ae2d425943ce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event_map_ref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artifact://event_map/1.0/art_event_map_400afa71e8c74095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sql_catalog_ref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artifact://sql_catalog/1.0/art_sql_catalog_f163ca9fd4414f5a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sql_map_ref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artifact://sql_map/1.0/art_sql_map_404d964a31ed40a1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data_access_map_ref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artifact://data_access_map/1.0/art_data_access_map_0aab76011f954852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recordset_ops_ref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artifact://recordset_ops/1.0/art_recordset_ops_ff9554ac447a415d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procedure_summary_ref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artifact://procedure_summary/1.0/art_procedure_summary_5f75b8b20c94409b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form_dossier_ref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artifact://form_dossier/1.0/art_form_dossier_e5ba40ebe33c45e2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dependency_list_ref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artifact://dependency_inventory/1.0/art_dependency_inventory_844cfe44376c4766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dependency_inventory_ref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artifact://dependency_inventory/1.0/art_dependency_inventory_844cfe44376c4766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business_rules_ref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artifact://business_rule_catalog/1.0/art_business_rule_catalog_7b4252e3940640de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detector_findings_ref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artifact://detector_findings/1.0/art_detector_findings_c848b341f54d4df6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risk_register_ref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artifact://risk_register/1.0/art_risk_register_4f090bdc214849e2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orphan_analysis_ref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artifact://orphan_analysis/1.0/art_orphan_analysis_fc013136dea84663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delivery_constitution_ref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artifact://delivery_constitution/1.0/art_delivery_constitution_7bc718ab69a44d3c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source_db_profile_ref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artifact://analyst/raw/source_db_profile/v1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source_schema_model_ref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artifact://analyst/raw/source_schema_model/v1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source_query_catalog_ref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artifact://analyst/raw/source_query_catalog/v1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source_relationship_candidates_ref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artifact://analyst/raw/source_relationship_candidates/v1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source_data_dictionary_markdown_ref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artifact://analyst/raw/source_data_dictionary_markdown/v1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source_erd_ref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artifact://analyst/raw/source_erd/v1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source_hotspot_report_ref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artifact://analyst/raw/source_hotspot_report/v1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target_schema_model_ref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artifact://analyst/raw/target_schema_model/v1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target_erd_ref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artifact://analyst/raw/target_erd/v1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schema_mapping_matrix_ref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artifact://analyst/raw/schema_mapping_matrix/v1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migration_plan_ref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artifact://analyst/raw/migration_plan/v1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validation_harness_spec_ref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artifact://analyst/raw/validation_harness_spec/v1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db_qa_report_ref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artifact://analyst/raw/db_qa_report/v1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schema_approval_record_ref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artifact://analyst/raw/schema_approval_record/v1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schema_drift_report_ref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artifact://analyst/raw/schema_drift_report/v1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variant_diff_report_ref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artifact://variant_diff_report/1.0/art_variant_diff_report_23684ea1ef134de0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reporting_model_ref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artifact://reporting_model/1.0/art_reporting_model_ba7b653326b54ec9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identity_access_model_ref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artifact://identity_access_model/1.0/art_identity_access_model_6fa53ae0ed60445c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discover_review_checklist_ref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artifact://discover_review_checklist/1.0/art_discover_review_checklist_474a32b39ef04cab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artifact_index_ref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artifact://artifact_index/1.0/art_artifact_index_780052c227764e57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embedded://analyst_report_v2/qa_report_v1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knowledge_snapshot_ref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runctx://runctx-76d548d3f71216a9/kctx-6c852fcceab50a55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run_delivery_constitution_ref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runctx://runctx-76d548d3f71216a9/delivery_constitution/const-034990ca95b3</w:t>
            </w:r>
          </w:p>
        </w:tc>
      </w:tr>
    </w:tbl>
    <w:p>
      <w:r>
        <w:rPr>
          <w:b w:val="0"/>
          <w:color w:val="6B7280"/>
          <w:sz w:val="16"/>
        </w:rPr>
        <w:t>Generated from analyst structured artifacts. This workbook is intended for BA/business review and should be paired with technical JSON/markdown exports for engineering implementation.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1"/>
      </w:pBdr>
      <w:tabs>
        <w:tab w:val="right" w:pos="1008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4" w:space="1"/>
      </w:pBdr>
      <w:spacing w:before="0" w:after="80"/>
    </w:pPr>
    <w:r>
      <w:rPr>
        <w:rFonts w:ascii="Arial" w:cs="Arial" w:eastAsia="Arial" w:hAnsi="Arial"/>
        <w:color w:val="4B5563"/>
        <w:sz w:val="16"/>
        <w:szCs w:val="16"/>
      </w:rPr>
      <w:t xml:space="preserve">VB6 Banking Modernization — Business Analyst Workbook</w:t>
    </w:r>
    <w:r>
      <w:rPr>
        <w:rFonts w:ascii="Arial" w:cs="Arial" w:eastAsia="Arial" w:hAnsi="Arial"/>
        <w:color w:val="1B7A8C"/>
        <w:sz w:val="16"/>
        <w:szCs w:val="16"/>
      </w:rPr>
      <w:t xml:space="preserve">  ·  Synthetix AI Analysis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B7A8C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2026-02-26T09:38:26.705Z</dcterms:created>
  <dcterms:modified xsi:type="dcterms:W3CDTF">2026-02-26T09:38:26.705Z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