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Chirp Backend Modernization Workbook</w:t>
            </w:r>
          </w:p>
        </w:tc>
      </w:tr>
    </w:tbl>
    <w:p>
      <w:r>
        <w:rPr>
          <w:b/>
          <w:color w:val="1F6B75"/>
          <w:sz w:val="26"/>
        </w:rPr>
        <w:t>Chirp Backend Modernization</w:t>
      </w:r>
    </w:p>
    <w:p>
      <w:r>
        <w:rPr>
          <w:b w:val="0"/>
          <w:color w:val="111827"/>
          <w:sz w:val="20"/>
        </w:rPr>
        <w:t>A comprehensive guide to modernizing the Chirp backend from Kotlin Spring to Go.</w:t>
      </w:r>
    </w:p>
    <w:p>
      <w:r>
        <w:rPr>
          <w:b w:val="0"/>
          <w:color w:val="6B7280"/>
          <w:sz w:val="18"/>
        </w:rPr>
        <w:t>Run 20260514_100744_84bd0cf9  ·  Generated 2026-05-14T10:08:30.314192+00:00  ·  Repo https://github.com/philipplackner/chirp-api</w:t>
      </w:r>
    </w:p>
    <w:p/>
    <w:p>
      <w:pPr>
        <w:pStyle w:val="Heading1"/>
      </w:pPr>
      <w:r>
        <w:t>Executive Snapshot</w:t>
      </w:r>
    </w:p>
    <w:p>
      <w:r>
        <w:rPr>
          <w:b w:val="0"/>
          <w:color w:val="6B7280"/>
          <w:sz w:val="18"/>
        </w:rPr>
        <w:t>Overview of the modernization strategy and objectives for Chirp backend.</w:t>
      </w:r>
    </w:p>
    <w:p>
      <w:r>
        <w:rPr>
          <w:b/>
          <w:color w:val="2E75B6"/>
          <w:sz w:val="20"/>
        </w:rPr>
        <w:t xml:space="preserve">Objective: </w:t>
      </w:r>
      <w:r>
        <w:rPr>
          <w:b w:val="0"/>
          <w:color w:val="111827"/>
          <w:sz w:val="20"/>
        </w:rPr>
        <w:t>The objective is to modernize the Chirp backend from Kotlin Spring to Go, focusing on backend functionality and dropping the UI scaffold. This involves validating the conversion process using specific skill packs and architectural guidelines.</w:t>
      </w:r>
    </w:p>
    <w:p>
      <w:r>
        <w:rPr>
          <w:b/>
          <w:color w:val="2E75B6"/>
          <w:sz w:val="20"/>
        </w:rPr>
        <w:t xml:space="preserve">Summary: </w:t>
      </w:r>
      <w:r>
        <w:rPr>
          <w:b w:val="0"/>
          <w:color w:val="111827"/>
          <w:sz w:val="20"/>
        </w:rPr>
        <w:t>Full upgrade / translation + remediation recommended.</w:t>
      </w:r>
    </w:p>
    <w:p>
      <w:r>
        <w:rPr>
          <w:b w:val="0"/>
          <w:color w:val="111827"/>
          <w:sz w:val="20"/>
        </w:rPr>
        <w:t>The Chirp Backend Modernization project aims to transition the backend from Kotlin Spring to Go, focusing on backend functionality while eliminating the UI scaffold. This involves a controlled translation process using specific skill packs and equivalence testing. The strategy includes phases for capturing baseline outputs, migrating modules with risk controls, and finalizing quality gates. The readiness score is 0, and the risk tier is high, indicating a need for careful planning and execution.</w:t>
      </w:r>
    </w:p>
    <w:p>
      <w:pPr>
        <w:pStyle w:val="ListParagraph"/>
      </w:pPr>
      <w:r>
        <w:rPr>
          <w:b w:val="0"/>
          <w:color w:val="111827"/>
          <w:sz w:val="18"/>
        </w:rPr>
        <w:t>- Objective: Modernize Chirp backend from Kotlin Spring to Go.</w:t>
      </w:r>
    </w:p>
    <w:p>
      <w:pPr>
        <w:pStyle w:val="ListParagraph"/>
      </w:pPr>
      <w:r>
        <w:rPr>
          <w:b w:val="0"/>
          <w:color w:val="111827"/>
          <w:sz w:val="18"/>
        </w:rPr>
        <w:t>- Focus: Backend functionality, dropping UI scaffold.</w:t>
      </w:r>
    </w:p>
    <w:p>
      <w:pPr>
        <w:pStyle w:val="ListParagraph"/>
      </w:pPr>
      <w:r>
        <w:rPr>
          <w:b w:val="0"/>
          <w:color w:val="111827"/>
          <w:sz w:val="18"/>
        </w:rPr>
        <w:t>- Strategy: Full upgrade with remediation and testing.</w:t>
      </w:r>
    </w:p>
    <w:p>
      <w:pPr>
        <w:pStyle w:val="ListParagraph"/>
      </w:pPr>
      <w:r>
        <w:rPr>
          <w:b w:val="0"/>
          <w:color w:val="111827"/>
          <w:sz w:val="18"/>
        </w:rPr>
        <w:t>- Readiness score: 0, indicating high risk.</w:t>
      </w:r>
    </w:p>
    <w:p>
      <w:pPr>
        <w:pStyle w:val="ListParagraph"/>
      </w:pPr>
      <w:r>
        <w:rPr>
          <w:b w:val="0"/>
          <w:color w:val="111827"/>
          <w:sz w:val="18"/>
        </w:rPr>
        <w:t>- Phases: Baseline capture, migration, hardening.</w:t>
      </w:r>
    </w:p>
    <w:p>
      <w:pPr>
        <w:pStyle w:val="ListParagraph"/>
      </w:pPr>
      <w:r>
        <w:rPr>
          <w:b w:val="0"/>
          <w:color w:val="111827"/>
          <w:sz w:val="18"/>
        </w:rPr>
        <w:t>- Outcome: Controlled translation with quality assurance.</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Tier: </w:t>
      </w:r>
      <w:r>
        <w:rPr>
          <w:b w:val="0"/>
          <w:color w:val="111827"/>
          <w:sz w:val="18"/>
        </w:rPr>
        <w:t>The project is classified as high risk due to readiness score.</w:t>
      </w:r>
    </w:p>
    <w:p>
      <w:pPr>
        <w:pStyle w:val="Heading2"/>
      </w:pPr>
      <w:r>
        <w:t>Recommended Modernization Strategy</w:t>
      </w:r>
    </w:p>
    <w:p>
      <w:r>
        <w:rPr>
          <w:b/>
          <w:color w:val="1F6B75"/>
          <w:sz w:val="20"/>
        </w:rPr>
        <w:t xml:space="preserve">Full upgrade / translation + remediation: </w:t>
      </w:r>
      <w:r>
        <w:rPr>
          <w:b w:val="0"/>
          <w:color w:val="111827"/>
          <w:sz w:val="20"/>
        </w:rPr>
        <w:t>Readiness is relatively high; controlled translation with remediation and equivalence testing is viable.</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(6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pass=13, warn=3,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13</w:t>
            </w:r>
          </w:p>
        </w:tc>
        <w:tc>
          <w:tcPr>
            <w:tcW w:type="dxa" w:w="1680"/>
          </w:tcPr>
          <w:p>
            <w:r/>
            <w:r>
              <w:rPr>
                <w:b w:val="0"/>
                <w:color w:val="111827"/>
                <w:sz w:val="18"/>
              </w:rPr>
              <w:t>3</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pass=13, warn=3,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5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total=5532, forms=0, modules=0, classes=0, profile_forms=0, profile_designer=0.</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14 DB artifacts detected.</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dependencies to ensure seamless transition and risk management.</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Details on forms/modules involved in the migration process.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chat/src/main/kotlin/com/plcoding/chirp/service/ChatService.kt</w:t>
            </w:r>
          </w:p>
        </w:tc>
        <w:tc>
          <w:tcPr>
            <w:tcW w:type="dxa" w:w="1680"/>
          </w:tcPr>
          <w:p>
            <w:r/>
            <w:r>
              <w:rPr>
                <w:b w:val="0"/>
                <w:color w:val="111827"/>
                <w:sz w:val="16"/>
              </w:rPr>
              <w:t>Data</w:t>
            </w:r>
          </w:p>
        </w:tc>
        <w:tc>
          <w:tcPr>
            <w:tcW w:type="dxa" w:w="1680"/>
          </w:tcPr>
          <w:p>
            <w:r/>
            <w:r>
              <w:rPr>
                <w:b w:val="0"/>
                <w:color w:val="111827"/>
                <w:sz w:val="16"/>
              </w:rPr>
              <w:t>calculation_logic</w:t>
            </w:r>
          </w:p>
        </w:tc>
        <w:tc>
          <w:tcPr>
            <w:tcW w:type="dxa" w:w="1680"/>
          </w:tcPr>
          <w:p>
            <w:r/>
            <w:r>
              <w:rPr>
                <w:b w:val="0"/>
                <w:color w:val="111827"/>
                <w:sz w:val="16"/>
              </w:rPr>
              <w:t>Balance is recalculated using the entered amount and current account value.</w:t>
            </w:r>
          </w:p>
        </w:tc>
        <w:tc>
          <w:tcPr>
            <w:tcW w:type="dxa" w:w="1680"/>
          </w:tcPr>
          <w:p>
            <w:r/>
            <w:r>
              <w:rPr>
                <w:b w:val="0"/>
                <w:color w:val="111827"/>
                <w:sz w:val="16"/>
              </w:rPr>
              <w:t>none</w:t>
            </w:r>
          </w:p>
        </w:tc>
      </w:tr>
      <w:tr>
        <w:tc>
          <w:tcPr>
            <w:tcW w:type="dxa" w:w="1680"/>
            <w:shd w:val="clear" w:color="auto" w:fill="F3F4F6"/>
          </w:tcPr>
          <w:p>
            <w:r/>
            <w:r>
              <w:rPr>
                <w:b w:val="0"/>
                <w:color w:val="111827"/>
                <w:sz w:val="16"/>
              </w:rPr>
              <w:t>BR-002</w:t>
            </w:r>
          </w:p>
        </w:tc>
        <w:tc>
          <w:tcPr>
            <w:tcW w:type="dxa" w:w="1680"/>
            <w:shd w:val="clear" w:color="auto" w:fill="F3F4F6"/>
          </w:tcPr>
          <w:p>
            <w:r/>
            <w:r>
              <w:rPr>
                <w:b w:val="0"/>
                <w:color w:val="111827"/>
                <w:sz w:val="16"/>
              </w:rPr>
              <w:t>chat/src/main/kotlin/com/plcoding/chirp/service/ChatService.kt</w:t>
            </w:r>
          </w:p>
        </w:tc>
        <w:tc>
          <w:tcPr>
            <w:tcW w:type="dxa" w:w="1680"/>
            <w:shd w:val="clear" w:color="auto" w:fill="F3F4F6"/>
          </w:tcPr>
          <w:p>
            <w:r/>
            <w:r>
              <w:rPr>
                <w:b w:val="0"/>
                <w:color w:val="111827"/>
                <w:sz w:val="16"/>
              </w:rPr>
              <w:t>Data</w:t>
            </w:r>
          </w:p>
        </w:tc>
        <w:tc>
          <w:tcPr>
            <w:tcW w:type="dxa" w:w="1680"/>
            <w:shd w:val="clear" w:color="auto" w:fill="F3F4F6"/>
          </w:tcPr>
          <w:p>
            <w:r/>
            <w:r>
              <w:rPr>
                <w:b w:val="0"/>
                <w:color w:val="111827"/>
                <w:sz w:val="16"/>
              </w:rPr>
              <w:t>calculation_logic</w:t>
            </w:r>
          </w:p>
        </w:tc>
        <w:tc>
          <w:tcPr>
            <w:tcW w:type="dxa" w:w="1680"/>
            <w:shd w:val="clear" w:color="auto" w:fill="F3F4F6"/>
          </w:tcPr>
          <w:p>
            <w:r/>
            <w:r>
              <w:rPr>
                <w:b w:val="0"/>
                <w:color w:val="111827"/>
                <w:sz w:val="16"/>
              </w:rPr>
              <w:t>Balance is recalculated using the entered amount and current account value.</w:t>
            </w:r>
          </w:p>
        </w:tc>
        <w:tc>
          <w:tcPr>
            <w:tcW w:type="dxa" w:w="1680"/>
            <w:shd w:val="clear" w:color="auto" w:fill="F3F4F6"/>
          </w:tcPr>
          <w:p>
            <w:r/>
            <w:r>
              <w:rPr>
                <w:b w:val="0"/>
                <w:color w:val="111827"/>
                <w:sz w:val="16"/>
              </w:rPr>
              <w:t>none</w:t>
            </w:r>
          </w:p>
        </w:tc>
      </w:tr>
      <w:tr>
        <w:tc>
          <w:tcPr>
            <w:tcW w:type="dxa" w:w="1680"/>
          </w:tcPr>
          <w:p>
            <w:r/>
            <w:r>
              <w:rPr>
                <w:b w:val="0"/>
                <w:color w:val="111827"/>
                <w:sz w:val="16"/>
              </w:rPr>
              <w:t>BR-003</w:t>
            </w:r>
          </w:p>
        </w:tc>
        <w:tc>
          <w:tcPr>
            <w:tcW w:type="dxa" w:w="1680"/>
          </w:tcPr>
          <w:p>
            <w:r/>
            <w:r>
              <w:rPr>
                <w:b w:val="0"/>
                <w:color w:val="111827"/>
                <w:sz w:val="16"/>
              </w:rPr>
              <w:t>chat/src/main/kotlin/com/plcoding/chirp/service/ChatService.kt</w:t>
            </w:r>
          </w:p>
        </w:tc>
        <w:tc>
          <w:tcPr>
            <w:tcW w:type="dxa" w:w="1680"/>
          </w:tcPr>
          <w:p>
            <w:r/>
            <w:r>
              <w:rPr>
                <w:b w:val="0"/>
                <w:color w:val="111827"/>
                <w:sz w:val="16"/>
              </w:rPr>
              <w:t>Data</w:t>
            </w:r>
          </w:p>
        </w:tc>
        <w:tc>
          <w:tcPr>
            <w:tcW w:type="dxa" w:w="1680"/>
          </w:tcPr>
          <w:p>
            <w:r/>
            <w:r>
              <w:rPr>
                <w:b w:val="0"/>
                <w:color w:val="111827"/>
                <w:sz w:val="16"/>
              </w:rPr>
              <w:t>calculation_logic</w:t>
            </w:r>
          </w:p>
        </w:tc>
        <w:tc>
          <w:tcPr>
            <w:tcW w:type="dxa" w:w="1680"/>
          </w:tcPr>
          <w:p>
            <w:r/>
            <w:r>
              <w:rPr>
                <w:b w:val="0"/>
                <w:color w:val="111827"/>
                <w:sz w:val="16"/>
              </w:rPr>
              <w:t>Balance is recalculated using the entered amount and current account value.</w:t>
            </w:r>
          </w:p>
        </w:tc>
        <w:tc>
          <w:tcPr>
            <w:tcW w:type="dxa" w:w="1680"/>
          </w:tcPr>
          <w:p>
            <w:r/>
            <w:r>
              <w:rPr>
                <w:b w:val="0"/>
                <w:color w:val="111827"/>
                <w:sz w:val="16"/>
              </w:rPr>
              <w:t>none</w:t>
            </w:r>
          </w:p>
        </w:tc>
      </w:tr>
      <w:tr>
        <w:tc>
          <w:tcPr>
            <w:tcW w:type="dxa" w:w="1680"/>
            <w:shd w:val="clear" w:color="auto" w:fill="F3F4F6"/>
          </w:tcPr>
          <w:p>
            <w:r/>
            <w:r>
              <w:rPr>
                <w:b w:val="0"/>
                <w:color w:val="111827"/>
                <w:sz w:val="16"/>
              </w:rPr>
              <w:t>BR-004</w:t>
            </w:r>
          </w:p>
        </w:tc>
        <w:tc>
          <w:tcPr>
            <w:tcW w:type="dxa" w:w="1680"/>
            <w:shd w:val="clear" w:color="auto" w:fill="F3F4F6"/>
          </w:tcPr>
          <w:p>
            <w:r/>
            <w:r>
              <w:rPr>
                <w:b w:val="0"/>
                <w:color w:val="111827"/>
                <w:sz w:val="16"/>
              </w:rPr>
              <w:t>gradle/wrapper/gradle-wrapper.properties</w:t>
            </w:r>
          </w:p>
        </w:tc>
        <w:tc>
          <w:tcPr>
            <w:tcW w:type="dxa" w:w="1680"/>
            <w:shd w:val="clear" w:color="auto" w:fill="F3F4F6"/>
          </w:tcPr>
          <w:p>
            <w:r/>
            <w:r>
              <w:rPr>
                <w:b w:val="0"/>
                <w:color w:val="111827"/>
                <w:sz w:val="16"/>
              </w:rPr>
              <w:t>Data</w:t>
            </w:r>
          </w:p>
        </w:tc>
        <w:tc>
          <w:tcPr>
            <w:tcW w:type="dxa" w:w="1680"/>
            <w:shd w:val="clear" w:color="auto" w:fill="F3F4F6"/>
          </w:tcPr>
          <w:p>
            <w:r/>
            <w:r>
              <w:rPr>
                <w:b w:val="0"/>
                <w:color w:val="111827"/>
                <w:sz w:val="16"/>
              </w:rPr>
              <w:t>calculation_logic</w:t>
            </w:r>
          </w:p>
        </w:tc>
        <w:tc>
          <w:tcPr>
            <w:tcW w:type="dxa" w:w="1680"/>
            <w:shd w:val="clear" w:color="auto" w:fill="F3F4F6"/>
          </w:tcPr>
          <w:p>
            <w:r/>
            <w:r>
              <w:rPr>
                <w:b w:val="0"/>
                <w:color w:val="111827"/>
                <w:sz w:val="16"/>
              </w:rPr>
              <w:t>Balance is recalculated using the entered amount and current account value.</w:t>
            </w:r>
          </w:p>
        </w:tc>
        <w:tc>
          <w:tcPr>
            <w:tcW w:type="dxa" w:w="1680"/>
            <w:shd w:val="clear" w:color="auto" w:fill="F3F4F6"/>
          </w:tcPr>
          <w:p>
            <w:r/>
            <w:r>
              <w:rPr>
                <w:b w:val="0"/>
                <w:color w:val="111827"/>
                <w:sz w:val="16"/>
              </w:rPr>
              <w:t>none</w:t>
            </w:r>
          </w:p>
        </w:tc>
      </w:tr>
      <w:tr>
        <w:tc>
          <w:tcPr>
            <w:tcW w:type="dxa" w:w="1680"/>
          </w:tcPr>
          <w:p>
            <w:r/>
            <w:r>
              <w:rPr>
                <w:b w:val="0"/>
                <w:color w:val="111827"/>
                <w:sz w:val="16"/>
              </w:rPr>
              <w:t>BR-005</w:t>
            </w:r>
          </w:p>
        </w:tc>
        <w:tc>
          <w:tcPr>
            <w:tcW w:type="dxa" w:w="1680"/>
          </w:tcPr>
          <w:p>
            <w:r/>
            <w:r>
              <w:rPr>
                <w:b w:val="0"/>
                <w:color w:val="111827"/>
                <w:sz w:val="16"/>
              </w:rPr>
              <w:t>gradle/wrapper/gradle-wrapper.properties</w:t>
            </w:r>
          </w:p>
        </w:tc>
        <w:tc>
          <w:tcPr>
            <w:tcW w:type="dxa" w:w="1680"/>
          </w:tcPr>
          <w:p>
            <w:r/>
            <w:r>
              <w:rPr>
                <w:b w:val="0"/>
                <w:color w:val="111827"/>
                <w:sz w:val="16"/>
              </w:rPr>
              <w:t>Data</w:t>
            </w:r>
          </w:p>
        </w:tc>
        <w:tc>
          <w:tcPr>
            <w:tcW w:type="dxa" w:w="1680"/>
          </w:tcPr>
          <w:p>
            <w:r/>
            <w:r>
              <w:rPr>
                <w:b w:val="0"/>
                <w:color w:val="111827"/>
                <w:sz w:val="16"/>
              </w:rPr>
              <w:t>calculation_logic</w:t>
            </w:r>
          </w:p>
        </w:tc>
        <w:tc>
          <w:tcPr>
            <w:tcW w:type="dxa" w:w="1680"/>
          </w:tcPr>
          <w:p>
            <w:r/>
            <w:r>
              <w:rPr>
                <w:b w:val="0"/>
                <w:color w:val="111827"/>
                <w:sz w:val="16"/>
              </w:rPr>
              <w:t>Balance is recalculated using the entered amount and current account value.</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Capturing golden flows and baseline outputs for equivalence testing.</w:t>
      </w:r>
    </w:p>
    <w:p>
      <w:r>
        <w:br w:type="page"/>
      </w:r>
    </w:p>
    <w:p>
      <w:pPr>
        <w:pStyle w:val="Heading1"/>
      </w:pPr>
      <w:r>
        <w:t>Section Q - Form Traceability Matrix</w:t>
      </w:r>
    </w:p>
    <w:p>
      <w:r>
        <w:rPr>
          <w:b w:val="0"/>
          <w:color w:val="6B7280"/>
          <w:sz w:val="18"/>
        </w:rPr>
        <w:t>Ensuring traceability throughout the modernization phases.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Organizing work into sprints for incremental migration and testing.</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Identifying and managing risks associated with the modernization effort.</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data loss during migration.</w:t>
            </w:r>
          </w:p>
        </w:tc>
        <w:tc>
          <w:tcPr>
            <w:tcW w:type="dxa" w:w="2520"/>
          </w:tcPr>
          <w:p>
            <w:r/>
            <w:r>
              <w:rPr>
                <w:b w:val="0"/>
                <w:color w:val="111827"/>
                <w:sz w:val="16"/>
              </w:rPr>
              <w:t>Implement thorough data migration testing and validation.</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Performance degradation in the new Go implementation.</w:t>
            </w:r>
          </w:p>
        </w:tc>
        <w:tc>
          <w:tcPr>
            <w:tcW w:type="dxa" w:w="2520"/>
            <w:shd w:val="clear" w:color="auto" w:fill="F3F4F6"/>
          </w:tcPr>
          <w:p>
            <w:r/>
            <w:r>
              <w:rPr>
                <w:b w:val="0"/>
                <w:color w:val="111827"/>
                <w:sz w:val="16"/>
              </w:rPr>
              <w:t>Conduct performance testing and optimization during development.</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artifact://legacy_inventory/1.0/art_legacy_inventory_03d7bd27aad74877</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artifact://repo_landscape/1.0/art_repo_landscape_8c7836243bcf4147</w:t>
            </w:r>
          </w:p>
        </w:tc>
      </w:tr>
      <w:tr>
        <w:tc>
          <w:tcPr>
            <w:tcW w:type="dxa" w:w="5040"/>
          </w:tcPr>
          <w:p>
            <w:r/>
            <w:r>
              <w:rPr>
                <w:b w:val="0"/>
                <w:color w:val="111827"/>
                <w:sz w:val="16"/>
              </w:rPr>
              <w:t>scope_lock_ref</w:t>
            </w:r>
          </w:p>
        </w:tc>
        <w:tc>
          <w:tcPr>
            <w:tcW w:type="dxa" w:w="5040"/>
          </w:tcPr>
          <w:p>
            <w:r/>
            <w:r>
              <w:rPr>
                <w:b w:val="0"/>
                <w:color w:val="111827"/>
                <w:sz w:val="16"/>
              </w:rPr>
              <w:t>artifact://scope_lock/1.0/art_scope_lock_a4e5bd99fed14a94</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artifact://variant_inventory/1.0/art_variant_inventory_43effda22cf04c52</w:t>
            </w:r>
          </w:p>
        </w:tc>
      </w:tr>
      <w:tr>
        <w:tc>
          <w:tcPr>
            <w:tcW w:type="dxa" w:w="5040"/>
          </w:tcPr>
          <w:p>
            <w:r/>
            <w:r>
              <w:rPr>
                <w:b w:val="0"/>
                <w:color w:val="111827"/>
                <w:sz w:val="16"/>
              </w:rPr>
              <w:t>event_map_ref</w:t>
            </w:r>
          </w:p>
        </w:tc>
        <w:tc>
          <w:tcPr>
            <w:tcW w:type="dxa" w:w="5040"/>
          </w:tcPr>
          <w:p>
            <w:r/>
            <w:r>
              <w:rPr>
                <w:b w:val="0"/>
                <w:color w:val="111827"/>
                <w:sz w:val="16"/>
              </w:rPr>
              <w:t>artifact://event_map/1.0/art_event_map_6451d255352e41c5</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artifact://sql_catalog/1.0/art_sql_catalog_29116a38eb1b46fc</w:t>
            </w:r>
          </w:p>
        </w:tc>
      </w:tr>
      <w:tr>
        <w:tc>
          <w:tcPr>
            <w:tcW w:type="dxa" w:w="5040"/>
          </w:tcPr>
          <w:p>
            <w:r/>
            <w:r>
              <w:rPr>
                <w:b w:val="0"/>
                <w:color w:val="111827"/>
                <w:sz w:val="16"/>
              </w:rPr>
              <w:t>sql_map_ref</w:t>
            </w:r>
          </w:p>
        </w:tc>
        <w:tc>
          <w:tcPr>
            <w:tcW w:type="dxa" w:w="5040"/>
          </w:tcPr>
          <w:p>
            <w:r/>
            <w:r>
              <w:rPr>
                <w:b w:val="0"/>
                <w:color w:val="111827"/>
                <w:sz w:val="16"/>
              </w:rPr>
              <w:t>artifact://sql_map/1.0/art_sql_map_a17d368764c54da1</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artifact://data_access_map/1.0/art_data_access_map_b48bda7531fe4791</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artifact://recordset_ops/1.0/art_recordset_ops_5e7b4ffcaf9c45be</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artifact://procedure_summary/1.0/art_procedure_summary_d4f0d017e4e449f1</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artifact://form_dossier/1.0/art_form_dossier_397e683928374429</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artifact://dependency_inventory/1.0/art_dependency_inventory_7fde4b3d604f4d61</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artifact://dependency_inventory/1.0/art_dependency_inventory_7fde4b3d604f4d61</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artifact://business_rule_catalog/1.0/art_business_rule_catalog_6d78245839924ecc</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artifact://detector_findings/1.0/art_detector_findings_9605f827a3764acc</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artifact://risk_register/1.0/art_risk_register_1068733ae468467d</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artifact://orphan_analysis/1.0/art_orphan_analysis_86685f406ca043dc</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artifact://delivery_constitution/1.0/art_delivery_constitution_14011a20adcf48f3</w:t>
            </w:r>
          </w:p>
        </w:tc>
      </w:tr>
      <w:tr>
        <w:tc>
          <w:tcPr>
            <w:tcW w:type="dxa" w:w="5040"/>
          </w:tcPr>
          <w:p>
            <w:r/>
            <w:r>
              <w:rPr>
                <w:b w:val="0"/>
                <w:color w:val="111827"/>
                <w:sz w:val="16"/>
              </w:rPr>
              <w:t>source_db_profile_ref</w:t>
            </w:r>
          </w:p>
        </w:tc>
        <w:tc>
          <w:tcPr>
            <w:tcW w:type="dxa" w:w="5040"/>
          </w:tcPr>
          <w:p>
            <w:r/>
            <w:r>
              <w:rPr>
                <w:b w:val="0"/>
                <w:color w:val="111827"/>
                <w:sz w:val="16"/>
              </w:rPr>
              <w:t>artifact://source_db_profile/1.0/art_source_db_profile_0971f66c1f914e12</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artifact://source_schema_model/1.0/art_source_schema_model_d65af3992bab4859</w:t>
            </w:r>
          </w:p>
        </w:tc>
      </w:tr>
      <w:tr>
        <w:tc>
          <w:tcPr>
            <w:tcW w:type="dxa" w:w="5040"/>
          </w:tcPr>
          <w:p>
            <w:r/>
            <w:r>
              <w:rPr>
                <w:b w:val="0"/>
                <w:color w:val="111827"/>
                <w:sz w:val="16"/>
              </w:rPr>
              <w:t>source_query_catalog_ref</w:t>
            </w:r>
          </w:p>
        </w:tc>
        <w:tc>
          <w:tcPr>
            <w:tcW w:type="dxa" w:w="5040"/>
          </w:tcPr>
          <w:p>
            <w:r/>
            <w:r>
              <w:rPr>
                <w:b w:val="0"/>
                <w:color w:val="111827"/>
                <w:sz w:val="16"/>
              </w:rPr>
              <w:t>artifact://source_query_catalog/1.0/art_source_query_catalog_fb6d08e60914401a</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artifact://source_relationship_candidates/1.0/art_source_relationship_candidates_e445b8ac868743fd</w:t>
            </w:r>
          </w:p>
        </w:tc>
      </w:tr>
      <w:tr>
        <w:tc>
          <w:tcPr>
            <w:tcW w:type="dxa" w:w="5040"/>
          </w:tcPr>
          <w:p>
            <w:r/>
            <w:r>
              <w:rPr>
                <w:b w:val="0"/>
                <w:color w:val="111827"/>
                <w:sz w:val="16"/>
              </w:rPr>
              <w:t>source_data_dictionary_ref</w:t>
            </w:r>
          </w:p>
        </w:tc>
        <w:tc>
          <w:tcPr>
            <w:tcW w:type="dxa" w:w="5040"/>
          </w:tcPr>
          <w:p>
            <w:r/>
            <w:r>
              <w:rPr>
                <w:b w:val="0"/>
                <w:color w:val="111827"/>
                <w:sz w:val="16"/>
              </w:rPr>
              <w:t>artifact://source_data_dictionary/1.0/art_source_data_dictionary_2f663c1c124e441b</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artifact://source_data_dictionary_markdown/1.0/art_source_data_dictionary_markdown_8e444dcc7754441e</w:t>
            </w:r>
          </w:p>
        </w:tc>
      </w:tr>
      <w:tr>
        <w:tc>
          <w:tcPr>
            <w:tcW w:type="dxa" w:w="5040"/>
          </w:tcPr>
          <w:p>
            <w:r/>
            <w:r>
              <w:rPr>
                <w:b w:val="0"/>
                <w:color w:val="111827"/>
                <w:sz w:val="16"/>
              </w:rPr>
              <w:t>source_erd_ref</w:t>
            </w:r>
          </w:p>
        </w:tc>
        <w:tc>
          <w:tcPr>
            <w:tcW w:type="dxa" w:w="5040"/>
          </w:tcPr>
          <w:p>
            <w:r/>
            <w:r>
              <w:rPr>
                <w:b w:val="0"/>
                <w:color w:val="111827"/>
                <w:sz w:val="16"/>
              </w:rPr>
              <w:t>artifact://source_erd/1.0/art_source_erd_82bc5f8d80c3410f</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artifact://source_hotspot_report/1.0/art_source_hotspot_report_2df30382b798425d</w:t>
            </w:r>
          </w:p>
        </w:tc>
      </w:tr>
      <w:tr>
        <w:tc>
          <w:tcPr>
            <w:tcW w:type="dxa" w:w="5040"/>
          </w:tcPr>
          <w:p>
            <w:r/>
            <w:r>
              <w:rPr>
                <w:b w:val="0"/>
                <w:color w:val="111827"/>
                <w:sz w:val="16"/>
              </w:rPr>
              <w:t>target_schema_model_ref</w:t>
            </w:r>
          </w:p>
        </w:tc>
        <w:tc>
          <w:tcPr>
            <w:tcW w:type="dxa" w:w="5040"/>
          </w:tcPr>
          <w:p>
            <w:r/>
            <w:r>
              <w:rPr>
                <w:b w:val="0"/>
                <w:color w:val="111827"/>
                <w:sz w:val="16"/>
              </w:rPr>
              <w:t>artifact://target_schema_model/1.0/art_target_schema_model_080c57063e034841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artifact://target_erd/1.0/art_target_erd_15076e70bba94780</w:t>
            </w:r>
          </w:p>
        </w:tc>
      </w:tr>
      <w:tr>
        <w:tc>
          <w:tcPr>
            <w:tcW w:type="dxa" w:w="5040"/>
          </w:tcPr>
          <w:p>
            <w:r/>
            <w:r>
              <w:rPr>
                <w:b w:val="0"/>
                <w:color w:val="111827"/>
                <w:sz w:val="16"/>
              </w:rPr>
              <w:t>target_data_dictionary_ref</w:t>
            </w:r>
          </w:p>
        </w:tc>
        <w:tc>
          <w:tcPr>
            <w:tcW w:type="dxa" w:w="5040"/>
          </w:tcPr>
          <w:p>
            <w:r/>
            <w:r>
              <w:rPr>
                <w:b w:val="0"/>
                <w:color w:val="111827"/>
                <w:sz w:val="16"/>
              </w:rPr>
              <w:t>artifact://target_data_dictionary/1.0/art_target_data_dictionary_f26dfd7122a04f8e</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artifact://schema_mapping_matrix/1.0/art_schema_mapping_matrix_9a70eede111a4955</w:t>
            </w:r>
          </w:p>
        </w:tc>
      </w:tr>
      <w:tr>
        <w:tc>
          <w:tcPr>
            <w:tcW w:type="dxa" w:w="5040"/>
          </w:tcPr>
          <w:p>
            <w:r/>
            <w:r>
              <w:rPr>
                <w:b w:val="0"/>
                <w:color w:val="111827"/>
                <w:sz w:val="16"/>
              </w:rPr>
              <w:t>migration_plan_ref</w:t>
            </w:r>
          </w:p>
        </w:tc>
        <w:tc>
          <w:tcPr>
            <w:tcW w:type="dxa" w:w="5040"/>
          </w:tcPr>
          <w:p>
            <w:r/>
            <w:r>
              <w:rPr>
                <w:b w:val="0"/>
                <w:color w:val="111827"/>
                <w:sz w:val="16"/>
              </w:rPr>
              <w:t>artifact://migration_plan/1.0/art_migration_plan_91e53e2f609b46c4</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artifact://validation_harness_spec/1.0/art_validation_harness_spec_3ed6cd31bf854881</w:t>
            </w:r>
          </w:p>
        </w:tc>
      </w:tr>
      <w:tr>
        <w:tc>
          <w:tcPr>
            <w:tcW w:type="dxa" w:w="5040"/>
          </w:tcPr>
          <w:p>
            <w:r/>
            <w:r>
              <w:rPr>
                <w:b w:val="0"/>
                <w:color w:val="111827"/>
                <w:sz w:val="16"/>
              </w:rPr>
              <w:t>db_qa_report_ref</w:t>
            </w:r>
          </w:p>
        </w:tc>
        <w:tc>
          <w:tcPr>
            <w:tcW w:type="dxa" w:w="5040"/>
          </w:tcPr>
          <w:p>
            <w:r/>
            <w:r>
              <w:rPr>
                <w:b w:val="0"/>
                <w:color w:val="111827"/>
                <w:sz w:val="16"/>
              </w:rPr>
              <w:t>artifact://db_qa_report/1.0/art_db_qa_report_deb5fb70bdf24c88</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artifact://schema_approval_record/1.0/art_schema_approval_record_7c48dab8a04b4971</w:t>
            </w:r>
          </w:p>
        </w:tc>
      </w:tr>
      <w:tr>
        <w:tc>
          <w:tcPr>
            <w:tcW w:type="dxa" w:w="5040"/>
          </w:tcPr>
          <w:p>
            <w:r/>
            <w:r>
              <w:rPr>
                <w:b w:val="0"/>
                <w:color w:val="111827"/>
                <w:sz w:val="16"/>
              </w:rPr>
              <w:t>schema_drift_report_ref</w:t>
            </w:r>
          </w:p>
        </w:tc>
        <w:tc>
          <w:tcPr>
            <w:tcW w:type="dxa" w:w="5040"/>
          </w:tcPr>
          <w:p>
            <w:r/>
            <w:r>
              <w:rPr>
                <w:b w:val="0"/>
                <w:color w:val="111827"/>
                <w:sz w:val="16"/>
              </w:rPr>
              <w:t>artifact://schema_drift_report/1.0/art_schema_drift_report_1759b1fc7e634278</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artifact://variant_diff_report/1.0/art_variant_diff_report_18e8288a08c74c07</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artifact://reporting_model/1.0/art_reporting_model_3746832df71e4adf</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artifact://identity_access_model/1.0/art_identity_access_model_89c945fa56af4489</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artifact://discover_review_checklist/1.0/art_discover_review_checklist_721ff1a8a3ae44be</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artifact://artifact_index/1.0/art_artifact_index_8d4c049e1ae74d09</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runctx://runctx-faec1ea9a7a69811/kctx-fdd34d7adb047a4e</w:t>
            </w:r>
          </w:p>
        </w:tc>
      </w:tr>
      <w:tr>
        <w:tc>
          <w:tcPr>
            <w:tcW w:type="dxa" w:w="5040"/>
          </w:tcPr>
          <w:p>
            <w:r/>
            <w:r>
              <w:rPr>
                <w:b w:val="0"/>
                <w:color w:val="111827"/>
                <w:sz w:val="16"/>
              </w:rPr>
              <w:t>run_delivery_constitution_ref</w:t>
            </w:r>
          </w:p>
        </w:tc>
        <w:tc>
          <w:tcPr>
            <w:tcW w:type="dxa" w:w="5040"/>
          </w:tcPr>
          <w:p>
            <w:r/>
            <w:r>
              <w:rPr>
                <w:b w:val="0"/>
                <w:color w:val="111827"/>
                <w:sz w:val="16"/>
              </w:rPr>
              <w:t>runctx://runctx-faec1ea9a7a69811/delivery_constitution/const-35db140cfa33</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