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Legacy Modernization Scope Workbook</w:t>
            </w:r>
          </w:p>
        </w:tc>
      </w:tr>
    </w:tbl>
    <w:p>
      <w:r>
        <w:rPr>
          <w:b/>
          <w:color w:val="1F6B75"/>
          <w:sz w:val="26"/>
        </w:rPr>
        <w:t>Legacy Modernization Scope</w:t>
      </w:r>
    </w:p>
    <w:p>
      <w:r>
        <w:rPr>
          <w:b w:val="0"/>
          <w:color w:val="111827"/>
          <w:sz w:val="20"/>
        </w:rPr>
        <w:t>Guidance for Phase 7 smoke on GLM-4-Flash with model override.</w:t>
      </w:r>
    </w:p>
    <w:p>
      <w:r>
        <w:rPr>
          <w:b w:val="0"/>
          <w:color w:val="6B7280"/>
          <w:sz w:val="18"/>
        </w:rPr>
        <w:t>Run 20260513_140059_f4ba1c8e  ·  Generated 2026-05-13T14:02:00.798395+00:00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An overview of the modernization scope and current phase objectives.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Phase 7 smoke on GLM-4-Flash (cap=5 + glm-4-flash model override).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modernization recommended.</w:t>
      </w:r>
    </w:p>
    <w:p>
      <w:r>
        <w:rPr>
          <w:b w:val="0"/>
          <w:color w:val="111827"/>
          <w:sz w:val="20"/>
        </w:rPr>
        <w:t>This workbook provides a structured approach to the ongoing modernization efforts under the Legacy Modernization Scope project. The objective is to execute Phase 7 smoke testing on GLM-4-Flash, ensuring a controlled and phased modernization process. The strategy focuses on preserving existing behavior before implementing changes, with a readiness score of 60 and a medium risk tier. The phased approach includes capturing baseline outputs, migrating with risk controls, and finalizing quality gates.</w:t>
      </w:r>
    </w:p>
    <w:p>
      <w:pPr>
        <w:pStyle w:val="ListParagraph"/>
      </w:pPr>
      <w:r>
        <w:rPr>
          <w:b w:val="0"/>
          <w:color w:val="111827"/>
          <w:sz w:val="18"/>
        </w:rPr>
        <w:t>- Objective: Phase 7 smoke on GLM-4-Flash with model override.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 is currently at 60.</w:t>
      </w:r>
    </w:p>
    <w:p>
      <w:pPr>
        <w:pStyle w:val="ListParagraph"/>
      </w:pPr>
      <w:r>
        <w:rPr>
          <w:b w:val="0"/>
          <w:color w:val="111827"/>
          <w:sz w:val="18"/>
        </w:rPr>
        <w:t>- Risk tier is assessed as medium.</w:t>
      </w:r>
    </w:p>
    <w:p>
      <w:pPr>
        <w:pStyle w:val="ListParagraph"/>
      </w:pPr>
      <w:r>
        <w:rPr>
          <w:b w:val="0"/>
          <w:color w:val="111827"/>
          <w:sz w:val="18"/>
        </w:rPr>
        <w:t>- No projects, forms, or dependencies inventoried.</w:t>
      </w:r>
    </w:p>
    <w:p>
      <w:pPr>
        <w:pStyle w:val="ListParagraph"/>
      </w:pPr>
      <w:r>
        <w:rPr>
          <w:b w:val="0"/>
          <w:color w:val="111827"/>
          <w:sz w:val="18"/>
        </w:rPr>
        <w:t>- Phased modernization strategy in place.</w:t>
      </w:r>
    </w:p>
    <w:p>
      <w:pPr>
        <w:pStyle w:val="ListParagraph"/>
      </w:pPr>
      <w:r>
        <w:rPr>
          <w:b w:val="0"/>
          <w:color w:val="111827"/>
          <w:sz w:val="18"/>
        </w:rPr>
        <w:t>- Focus on preserving behavior before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60/100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60, indicating moderate preparedness.</w:t>
      </w:r>
    </w:p>
    <w:p>
      <w:r>
        <w:rPr>
          <w:b/>
          <w:color w:val="2E75B6"/>
          <w:sz w:val="18"/>
        </w:rPr>
        <w:t xml:space="preserve">Risk Tier: </w:t>
      </w:r>
      <w:r>
        <w:rPr>
          <w:b w:val="0"/>
          <w:color w:val="111827"/>
          <w:sz w:val="18"/>
        </w:rPr>
        <w:t>Risk tier is medium, requiring careful monitoring.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modernization: </w:t>
      </w:r>
      <w:r>
        <w:rPr>
          <w:b w:val="0"/>
          <w:color w:val="111827"/>
          <w:sz w:val="20"/>
        </w:rPr>
        <w:t>Preserve behavior first, then modernize in controlled phases.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0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Rule scope form references resolve against discovered form inventory.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dependencies to identify potential risks and controls.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dossiers on forms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Capturing and analyzing golden flows for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of changes throughout the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Defining sprints for incremental migration and dependency replacement.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Identifying and managing risks associated with the modernization efforts.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RISK-PARSE-001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The primary Analyst LLM response could not be parsed into valid JSON, so Synthetix compiled the requirements pack from deterministic evidence instead.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Review the generated artifacts and rerun with a stricter output contract if additional narrative depth is required.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artifact://legacy_inventory/1.0/art_legacy_inventory_57da011e626f4c10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artifact://repo_landscape/1.0/art_repo_landscape_61d8b4b17e21485c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artifact://scope_lock/1.0/art_scope_lock_91d8a652a9694d81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artifact://variant_inventory/1.0/art_variant_inventory_95bbaa984e244809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artifact://event_map/1.0/art_event_map_3d510cea11f549a2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artifact://sql_catalog/1.0/art_sql_catalog_7bc4e8ba7cf44fe6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artifact://sql_map/1.0/art_sql_map_cc7326d1451f473c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artifact://data_access_map/1.0/art_data_access_map_fe8317026ef94e48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artifact://recordset_ops/1.0/art_recordset_ops_bece75e36a6f43cb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artifact://procedure_summary/1.0/art_procedure_summary_bebbc773435341dc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artifact://form_dossier/1.0/art_form_dossier_099af5eb8e134238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artifact://dependency_inventory/1.0/art_dependency_inventory_be622c505e2d49d9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artifact://dependency_inventory/1.0/art_dependency_inventory_be622c505e2d49d9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artifact://business_rule_catalog/1.0/art_business_rule_catalog_5b641116084f4ec9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artifact://detector_findings/1.0/art_detector_findings_1cd28f26780d4877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artifact://risk_register/1.0/art_risk_register_4ebe1e6b2f8444b6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artifact://orphan_analysis/1.0/art_orphan_analysis_9df8d691abe64e37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artifact://delivery_constitution/1.0/art_delivery_constitution_03ff906e49ec46b4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artifact://variant_diff_report/1.0/art_variant_diff_report_a555bdd02f96420e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artifact://reporting_model/1.0/art_reporting_model_e5f4e5bdffdc4f0a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artifact://identity_access_model/1.0/art_identity_access_model_b373446f4a974d37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artifact://discover_review_checklist/1.0/art_discover_review_checklist_23f7b2c1ab354714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artifact://artifact_index/1.0/art_artifact_index_e22246c3e01648e1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runctx://runctx-963f91b094a99a07/kctx-9902e42d32f8c0bb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runctx://runctx-963f91b094a99a07/delivery_constitution/const-06f81f2bd06d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