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Legacy Modernization Scope Workbook</w:t>
            </w:r>
          </w:p>
        </w:tc>
      </w:tr>
    </w:tbl>
    <w:p>
      <w:r>
        <w:rPr>
          <w:b/>
          <w:color w:val="1F6B75"/>
          <w:sz w:val="26"/>
        </w:rPr>
        <w:t>Legacy Modernization Scope</w:t>
      </w:r>
    </w:p>
    <w:p>
      <w:r>
        <w:rPr>
          <w:b w:val="0"/>
          <w:color w:val="111827"/>
          <w:sz w:val="20"/>
        </w:rPr>
        <w:t>Guidance for verifying language and framework version pinning in modernization efforts.</w:t>
      </w:r>
    </w:p>
    <w:p>
      <w:r>
        <w:rPr>
          <w:b w:val="0"/>
          <w:color w:val="6B7280"/>
          <w:sz w:val="18"/>
        </w:rPr>
        <w:t>Run 20260512_175530_2f3b2e5a  ·  Generated 2026-05-12T17:56:30.494267+00:00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objectives, current readiness, and risk assessment for modernization.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Verify language_version + framework_version pinning. ARCH-V06 should clear. Stage 4 ui_scaffold should run.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modernization recommended.</w:t>
      </w:r>
    </w:p>
    <w:p>
      <w:r>
        <w:rPr>
          <w:b w:val="0"/>
          <w:color w:val="111827"/>
          <w:sz w:val="20"/>
        </w:rPr>
        <w:t>The Legacy Modernization Scope project aims to ensure that language_version and framework_version pinning are verified, with ARCH-V06 clearing and Stage 4 ui_scaffold running successfully. The phased modernization strategy focuses on preserving existing behavior before modernizing in controlled phases. The readiness score is currently at 60, with a medium risk tier. The project involves capturing golden flows, migrating forms and modules with risk controls, and finalizing quality gates for release.</w:t>
      </w:r>
    </w:p>
    <w:p>
      <w:pPr>
        <w:pStyle w:val="ListParagraph"/>
      </w:pPr>
      <w:r>
        <w:rPr>
          <w:b w:val="0"/>
          <w:color w:val="111827"/>
          <w:sz w:val="18"/>
        </w:rPr>
        <w:t>- Objective: Verify language and framework version pinning.</w:t>
      </w:r>
    </w:p>
    <w:p>
      <w:pPr>
        <w:pStyle w:val="ListParagraph"/>
      </w:pPr>
      <w:r>
        <w:rPr>
          <w:b w:val="0"/>
          <w:color w:val="111827"/>
          <w:sz w:val="18"/>
        </w:rPr>
        <w:t>- ARCH-V06 should clear; Stage 4 ui_scaffold to run.</w:t>
      </w:r>
    </w:p>
    <w:p>
      <w:pPr>
        <w:pStyle w:val="ListParagraph"/>
      </w:pPr>
      <w:r>
        <w:rPr>
          <w:b w:val="0"/>
          <w:color w:val="111827"/>
          <w:sz w:val="18"/>
        </w:rPr>
        <w:t>- Phased modernization strategy in place.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is 60.</w:t>
      </w:r>
    </w:p>
    <w:p>
      <w:pPr>
        <w:pStyle w:val="ListParagraph"/>
      </w:pPr>
      <w:r>
        <w:rPr>
          <w:b w:val="0"/>
          <w:color w:val="111827"/>
          <w:sz w:val="18"/>
        </w:rPr>
        <w:t>- Risk tier is assessed as medium.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60/100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60, indicating moderate preparedness.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modernization: </w:t>
      </w:r>
      <w:r>
        <w:rPr>
          <w:b w:val="0"/>
          <w:color w:val="111827"/>
          <w:sz w:val="20"/>
        </w:rPr>
        <w:t>Preserve behavior first, then modernize in controlled phases.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0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Rule scope form references resolve against discovered form inventory.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of current dependencies to identify potential risks and controls.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and modules for migration with risk controls.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analysis of golden flows and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of changes and verification of version pinning.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planning and execution for phased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risks associated with modernization and mitigation strategies.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RISK-PARSE-001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The primary Analyst LLM response could not be parsed into valid JSON, so Synthetix compiled the requirements pack from deterministic evidence instead.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Review the generated artifacts and rerun with a stricter output contract if additional narrative depth is required.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artifact://legacy_inventory/1.0/art_legacy_inventory_52e0b0e01b534e12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artifact://repo_landscape/1.0/art_repo_landscape_e0c05558c7984eac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artifact://scope_lock/1.0/art_scope_lock_8a305fcf656d46bb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artifact://variant_inventory/1.0/art_variant_inventory_c777a34045e943d3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artifact://event_map/1.0/art_event_map_8e1f47d381b84291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artifact://sql_catalog/1.0/art_sql_catalog_3e814225b6384541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artifact://sql_map/1.0/art_sql_map_f5cbcdbe1ce94ca7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artifact://data_access_map/1.0/art_data_access_map_4942d117a00c459a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artifact://recordset_ops/1.0/art_recordset_ops_8af2378734574342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artifact://procedure_summary/1.0/art_procedure_summary_58994a62e83e4368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artifact://form_dossier/1.0/art_form_dossier_3c5343ac12124fd0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artifact://dependency_inventory/1.0/art_dependency_inventory_81b3b493f61544f7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artifact://dependency_inventory/1.0/art_dependency_inventory_81b3b493f61544f7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artifact://business_rule_catalog/1.0/art_business_rule_catalog_0aa0ac357abd45fd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artifact://detector_findings/1.0/art_detector_findings_2bec9524a8c24f05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artifact://risk_register/1.0/art_risk_register_a0af9658b8f646b4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artifact://orphan_analysis/1.0/art_orphan_analysis_e9f55e50ba4440d0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artifact://delivery_constitution/1.0/art_delivery_constitution_24c17ad1279c4b8d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artifact://variant_diff_report/1.0/art_variant_diff_report_e26763ddca544285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artifact://reporting_model/1.0/art_reporting_model_72fd3fea4ab645eb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artifact://identity_access_model/1.0/art_identity_access_model_3e3c3d23fb444fbd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artifact://discover_review_checklist/1.0/art_discover_review_checklist_2dc30fbe0c35419d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artifact://artifact_index/1.0/art_artifact_index_412e790b1b644d37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runctx://runctx-53862d3013b78c45/kctx-6c852fcceab50a55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runctx://runctx-53862d3013b78c45/delivery_constitution/const-c40453038f3c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