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Chirp Backend Modernization Workbook</w:t>
            </w:r>
          </w:p>
        </w:tc>
      </w:tr>
    </w:tbl>
    <w:p>
      <w:r>
        <w:rPr>
          <w:b/>
          <w:color w:val="1F6B75"/>
          <w:sz w:val="26"/>
        </w:rPr>
        <w:t>Chirp Backend Modernization</w:t>
      </w:r>
    </w:p>
    <w:p>
      <w:r>
        <w:rPr>
          <w:b w:val="0"/>
          <w:color w:val="111827"/>
          <w:sz w:val="20"/>
        </w:rPr>
        <w:t>Guidance for transitioning Chirp backend from Kotlin Spring to Go with comprehensive validation.</w:t>
      </w:r>
    </w:p>
    <w:p>
      <w:r>
        <w:rPr>
          <w:b w:val="0"/>
          <w:color w:val="6B7280"/>
          <w:sz w:val="18"/>
        </w:rPr>
        <w:t>Run 20260514_100208_c6d2b536  ·  Generated 2026-05-14T10:03:31.295883+00:00  ·  Repo https://github.com/philipplackner/chirp-api</w:t>
      </w:r>
    </w:p>
    <w:p/>
    <w:p>
      <w:pPr>
        <w:pStyle w:val="Heading1"/>
      </w:pPr>
      <w:r>
        <w:t>Executive Snapshot</w:t>
      </w:r>
    </w:p>
    <w:p>
      <w:r>
        <w:rPr>
          <w:b w:val="0"/>
          <w:color w:val="6B7280"/>
          <w:sz w:val="18"/>
        </w:rPr>
        <w:t>Overview of the modernization strategy and project objectives for Chirp backend.</w:t>
      </w:r>
    </w:p>
    <w:p>
      <w:r>
        <w:rPr>
          <w:b/>
          <w:color w:val="2E75B6"/>
          <w:sz w:val="20"/>
        </w:rPr>
        <w:t xml:space="preserve">Objective: </w:t>
      </w:r>
      <w:r>
        <w:rPr>
          <w:b w:val="0"/>
          <w:color w:val="111827"/>
          <w:sz w:val="20"/>
        </w:rPr>
        <w:t>The objective is to modernize the Chirp backend from Kotlin Spring to Go, ensuring end-to-end validation and leveraging specific modernization tools and methodologies.</w:t>
      </w:r>
    </w:p>
    <w:p>
      <w:r>
        <w:rPr>
          <w:b/>
          <w:color w:val="2E75B6"/>
          <w:sz w:val="20"/>
        </w:rPr>
        <w:t xml:space="preserve">Summary: </w:t>
      </w:r>
      <w:r>
        <w:rPr>
          <w:b w:val="0"/>
          <w:color w:val="111827"/>
          <w:sz w:val="20"/>
        </w:rPr>
        <w:t>Full upgrade / translation + remediation recommended.</w:t>
      </w:r>
    </w:p>
    <w:p>
      <w:r>
        <w:rPr>
          <w:b w:val="0"/>
          <w:color w:val="111827"/>
          <w:sz w:val="20"/>
        </w:rPr>
        <w:t>This workbook provides a structured approach to modernizing the Chirp backend. The project aims to transition from Kotlin Spring to Go, leveraging specific modernization tools and methodologies. The strategy involves a full upgrade with translation and remediation, ensuring controlled translation with equivalence testing. The process is divided into phases, starting with capturing baseline outputs, followed by incremental migration and dependency replacement, and concluding with hardening and release evidence.</w:t>
      </w:r>
    </w:p>
    <w:p>
      <w:pPr>
        <w:pStyle w:val="ListParagraph"/>
      </w:pPr>
      <w:r>
        <w:rPr>
          <w:b w:val="0"/>
          <w:color w:val="111827"/>
          <w:sz w:val="18"/>
        </w:rPr>
        <w:t>- Objective: Transition Chirp backend from Kotlin Spring to Go.</w:t>
      </w:r>
    </w:p>
    <w:p>
      <w:pPr>
        <w:pStyle w:val="ListParagraph"/>
      </w:pPr>
      <w:r>
        <w:rPr>
          <w:b w:val="0"/>
          <w:color w:val="111827"/>
          <w:sz w:val="18"/>
        </w:rPr>
        <w:t>- Strategy: Full upgrade with translation and remediation.</w:t>
      </w:r>
    </w:p>
    <w:p>
      <w:pPr>
        <w:pStyle w:val="ListParagraph"/>
      </w:pPr>
      <w:r>
        <w:rPr>
          <w:b w:val="0"/>
          <w:color w:val="111827"/>
          <w:sz w:val="18"/>
        </w:rPr>
        <w:t>- Phases: Baseline capture, migration, hardening.</w:t>
      </w:r>
    </w:p>
    <w:p>
      <w:pPr>
        <w:pStyle w:val="ListParagraph"/>
      </w:pPr>
      <w:r>
        <w:rPr>
          <w:b w:val="0"/>
          <w:color w:val="111827"/>
          <w:sz w:val="18"/>
        </w:rPr>
        <w:t>- Risk Tier: High, with controlled risk management.</w:t>
      </w:r>
    </w:p>
    <w:p>
      <w:pPr>
        <w:pStyle w:val="ListParagraph"/>
      </w:pPr>
      <w:r>
        <w:rPr>
          <w:b w:val="0"/>
          <w:color w:val="111827"/>
          <w:sz w:val="18"/>
        </w:rPr>
        <w:t>- Readiness Score: 0, indicating initial stage.</w:t>
      </w:r>
    </w:p>
    <w:p>
      <w:pPr>
        <w:pStyle w:val="ListParagraph"/>
      </w:pPr>
      <w:r>
        <w:rPr>
          <w:b w:val="0"/>
          <w:color w:val="111827"/>
          <w:sz w:val="18"/>
        </w:rPr>
        <w:t>- Tools: Modernization tools and methodologies applied.</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n/a/100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high</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pPr>
        <w:ind w:left="115"/>
      </w:pPr>
      <w:r>
        <w:rPr>
          <w:b/>
          <w:color w:val="2E75B6"/>
          <w:sz w:val="18"/>
        </w:rPr>
        <w:t xml:space="preserve">Risk: </w:t>
      </w:r>
      <w:r>
        <w:rPr>
          <w:b w:val="0"/>
          <w:color w:val="111827"/>
          <w:sz w:val="18"/>
        </w:rPr>
        <w:t>High risk tier requires careful management.</w:t>
      </w:r>
    </w:p>
    <w:p>
      <w:pPr>
        <w:pStyle w:val="Heading2"/>
      </w:pPr>
      <w:r>
        <w:t>Recommended Modernization Strategy</w:t>
      </w:r>
    </w:p>
    <w:p>
      <w:r>
        <w:rPr>
          <w:b/>
          <w:color w:val="1F6B75"/>
          <w:sz w:val="20"/>
        </w:rPr>
        <w:t xml:space="preserve">Full upgrade / translation + remediation: </w:t>
      </w:r>
      <w:r>
        <w:rPr>
          <w:b w:val="0"/>
          <w:color w:val="111827"/>
          <w:sz w:val="20"/>
        </w:rPr>
        <w:t>Readiness is relatively high; controlled translation with remediation and equivalence testing is viable.</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Q-002</w:t>
            </w:r>
          </w:p>
        </w:tc>
        <w:tc>
          <w:tcPr>
            <w:tcW w:type="dxa" w:w="3360"/>
            <w:shd w:val="clear" w:color="auto" w:fill="F3F4F6"/>
          </w:tcPr>
          <w:p>
            <w:r/>
            <w:r>
              <w:rPr>
                <w:b w:val="0"/>
                <w:color w:val="111827"/>
                <w:sz w:val="18"/>
              </w:rPr>
              <w:t>What are target latency, throughput, and availability SLOs?</w:t>
            </w:r>
          </w:p>
        </w:tc>
        <w:tc>
          <w:tcPr>
            <w:tcW w:type="dxa" w:w="3360"/>
            <w:shd w:val="clear" w:color="auto" w:fill="F3F4F6"/>
          </w:tcPr>
          <w:p>
            <w:r/>
            <w:r>
              <w:rPr>
                <w:b w:val="0"/>
                <w:color w:val="111827"/>
                <w:sz w:val="18"/>
              </w:rPr>
              <w:t>Resolve with product/business owner before implementation commitment.</w:t>
            </w:r>
          </w:p>
        </w:tc>
      </w:tr>
      <w:tr>
        <w:tc>
          <w:tcPr>
            <w:tcW w:type="dxa" w:w="3360"/>
          </w:tcPr>
          <w:p>
            <w:r/>
            <w:r>
              <w:rPr>
                <w:b w:val="0"/>
                <w:color w:val="111827"/>
                <w:sz w:val="18"/>
              </w:rPr>
              <w:t>DEC-BDD-001</w:t>
            </w:r>
          </w:p>
        </w:tc>
        <w:tc>
          <w:tcPr>
            <w:tcW w:type="dxa" w:w="3360"/>
          </w:tcPr>
          <w:p>
            <w:r/>
            <w:r>
              <w:rPr>
                <w:b w:val="0"/>
                <w:color w:val="111827"/>
                <w:sz w:val="18"/>
              </w:rPr>
              <w:t>Ground BDD acceptance criteria in real legacy golden flows before Build planning.</w:t>
            </w:r>
          </w:p>
        </w:tc>
        <w:tc>
          <w:tcPr>
            <w:tcW w:type="dxa" w:w="3360"/>
          </w:tcPr>
          <w:p>
            <w:r/>
            <w:r>
              <w:rPr>
                <w:b w:val="0"/>
                <w:color w:val="111827"/>
                <w:sz w:val="18"/>
              </w:rPr>
              <w:t>Regenerate BDD from validated golden flows, route evidence, and SQL touchpoints before Build starts.</w:t>
            </w:r>
          </w:p>
        </w:tc>
      </w:tr>
      <w:tr>
        <w:tc>
          <w:tcPr>
            <w:tcW w:type="dxa" w:w="3360"/>
            <w:shd w:val="clear" w:color="auto" w:fill="F3F4F6"/>
          </w:tcPr>
          <w:p>
            <w:r/>
            <w:r>
              <w:rPr>
                <w:b w:val="0"/>
                <w:color w:val="111827"/>
                <w:sz w:val="18"/>
              </w:rPr>
              <w:t>DEC-OBS-001</w:t>
            </w:r>
          </w:p>
        </w:tc>
        <w:tc>
          <w:tcPr>
            <w:tcW w:type="dxa" w:w="3360"/>
            <w:shd w:val="clear" w:color="auto" w:fill="F3F4F6"/>
          </w:tcPr>
          <w:p>
            <w:r/>
            <w:r>
              <w:rPr>
                <w:b w:val="0"/>
                <w:color w:val="111827"/>
                <w:sz w:val="18"/>
              </w:rPr>
              <w:t>Logging and observability stack for migrated runtime</w:t>
            </w:r>
          </w:p>
        </w:tc>
        <w:tc>
          <w:tcPr>
            <w:tcW w:type="dxa" w:w="3360"/>
            <w:shd w:val="clear" w:color="auto" w:fill="F3F4F6"/>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Backlog grounded in discovered behavior (5 derived item(s), threshold 3).</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pass=13, warn=3,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13</w:t>
            </w:r>
          </w:p>
        </w:tc>
        <w:tc>
          <w:tcPr>
            <w:tcW w:type="dxa" w:w="1680"/>
          </w:tcPr>
          <w:p>
            <w:r/>
            <w:r>
              <w:rPr>
                <w:b w:val="0"/>
                <w:color w:val="111827"/>
                <w:sz w:val="18"/>
              </w:rPr>
              <w:t>3</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pass=13, warn=3,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5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Rule scope form references resolve against discovered form inventory.</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total=5532, forms=0, modules=0, classes=0, profile_forms=0, profile_designer=0.</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14 DB artifacts detected.</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Mapping of current dependencies to identify areas for replacement or upgrade.</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Documentation of forms and modules for migration with risk controls.</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6"/>
              </w:rPr>
              <w:t>BR-001</w:t>
            </w:r>
          </w:p>
        </w:tc>
        <w:tc>
          <w:tcPr>
            <w:tcW w:type="dxa" w:w="1680"/>
          </w:tcPr>
          <w:p>
            <w:r/>
            <w:r>
              <w:rPr>
                <w:b w:val="0"/>
                <w:color w:val="111827"/>
                <w:sz w:val="16"/>
              </w:rPr>
              <w:t>chat/src/main/kotlin/com/plcoding/chirp/service/ChatService.kt</w:t>
            </w:r>
          </w:p>
        </w:tc>
        <w:tc>
          <w:tcPr>
            <w:tcW w:type="dxa" w:w="1680"/>
          </w:tcPr>
          <w:p>
            <w:r/>
            <w:r>
              <w:rPr>
                <w:b w:val="0"/>
                <w:color w:val="111827"/>
                <w:sz w:val="16"/>
              </w:rPr>
              <w:t>Data</w:t>
            </w:r>
          </w:p>
        </w:tc>
        <w:tc>
          <w:tcPr>
            <w:tcW w:type="dxa" w:w="1680"/>
          </w:tcPr>
          <w:p>
            <w:r/>
            <w:r>
              <w:rPr>
                <w:b w:val="0"/>
                <w:color w:val="111827"/>
                <w:sz w:val="16"/>
              </w:rPr>
              <w:t>calculation_logic</w:t>
            </w:r>
          </w:p>
        </w:tc>
        <w:tc>
          <w:tcPr>
            <w:tcW w:type="dxa" w:w="1680"/>
          </w:tcPr>
          <w:p>
            <w:r/>
            <w:r>
              <w:rPr>
                <w:b w:val="0"/>
                <w:color w:val="111827"/>
                <w:sz w:val="16"/>
              </w:rPr>
              <w:t>Balance is recalculated using the entered amount and current account value.</w:t>
            </w:r>
          </w:p>
        </w:tc>
        <w:tc>
          <w:tcPr>
            <w:tcW w:type="dxa" w:w="1680"/>
          </w:tcPr>
          <w:p>
            <w:r/>
            <w:r>
              <w:rPr>
                <w:b w:val="0"/>
                <w:color w:val="111827"/>
                <w:sz w:val="16"/>
              </w:rPr>
              <w:t>none</w:t>
            </w:r>
          </w:p>
        </w:tc>
      </w:tr>
      <w:tr>
        <w:tc>
          <w:tcPr>
            <w:tcW w:type="dxa" w:w="1680"/>
            <w:shd w:val="clear" w:color="auto" w:fill="F3F4F6"/>
          </w:tcPr>
          <w:p>
            <w:r/>
            <w:r>
              <w:rPr>
                <w:b w:val="0"/>
                <w:color w:val="111827"/>
                <w:sz w:val="16"/>
              </w:rPr>
              <w:t>BR-002</w:t>
            </w:r>
          </w:p>
        </w:tc>
        <w:tc>
          <w:tcPr>
            <w:tcW w:type="dxa" w:w="1680"/>
            <w:shd w:val="clear" w:color="auto" w:fill="F3F4F6"/>
          </w:tcPr>
          <w:p>
            <w:r/>
            <w:r>
              <w:rPr>
                <w:b w:val="0"/>
                <w:color w:val="111827"/>
                <w:sz w:val="16"/>
              </w:rPr>
              <w:t>chat/src/main/kotlin/com/plcoding/chirp/service/ChatService.kt</w:t>
            </w:r>
          </w:p>
        </w:tc>
        <w:tc>
          <w:tcPr>
            <w:tcW w:type="dxa" w:w="1680"/>
            <w:shd w:val="clear" w:color="auto" w:fill="F3F4F6"/>
          </w:tcPr>
          <w:p>
            <w:r/>
            <w:r>
              <w:rPr>
                <w:b w:val="0"/>
                <w:color w:val="111827"/>
                <w:sz w:val="16"/>
              </w:rPr>
              <w:t>Data</w:t>
            </w:r>
          </w:p>
        </w:tc>
        <w:tc>
          <w:tcPr>
            <w:tcW w:type="dxa" w:w="1680"/>
            <w:shd w:val="clear" w:color="auto" w:fill="F3F4F6"/>
          </w:tcPr>
          <w:p>
            <w:r/>
            <w:r>
              <w:rPr>
                <w:b w:val="0"/>
                <w:color w:val="111827"/>
                <w:sz w:val="16"/>
              </w:rPr>
              <w:t>calculation_logic</w:t>
            </w:r>
          </w:p>
        </w:tc>
        <w:tc>
          <w:tcPr>
            <w:tcW w:type="dxa" w:w="1680"/>
            <w:shd w:val="clear" w:color="auto" w:fill="F3F4F6"/>
          </w:tcPr>
          <w:p>
            <w:r/>
            <w:r>
              <w:rPr>
                <w:b w:val="0"/>
                <w:color w:val="111827"/>
                <w:sz w:val="16"/>
              </w:rPr>
              <w:t>Balance is recalculated using the entered amount and current account value.</w:t>
            </w:r>
          </w:p>
        </w:tc>
        <w:tc>
          <w:tcPr>
            <w:tcW w:type="dxa" w:w="1680"/>
            <w:shd w:val="clear" w:color="auto" w:fill="F3F4F6"/>
          </w:tcPr>
          <w:p>
            <w:r/>
            <w:r>
              <w:rPr>
                <w:b w:val="0"/>
                <w:color w:val="111827"/>
                <w:sz w:val="16"/>
              </w:rPr>
              <w:t>none</w:t>
            </w:r>
          </w:p>
        </w:tc>
      </w:tr>
      <w:tr>
        <w:tc>
          <w:tcPr>
            <w:tcW w:type="dxa" w:w="1680"/>
          </w:tcPr>
          <w:p>
            <w:r/>
            <w:r>
              <w:rPr>
                <w:b w:val="0"/>
                <w:color w:val="111827"/>
                <w:sz w:val="16"/>
              </w:rPr>
              <w:t>BR-003</w:t>
            </w:r>
          </w:p>
        </w:tc>
        <w:tc>
          <w:tcPr>
            <w:tcW w:type="dxa" w:w="1680"/>
          </w:tcPr>
          <w:p>
            <w:r/>
            <w:r>
              <w:rPr>
                <w:b w:val="0"/>
                <w:color w:val="111827"/>
                <w:sz w:val="16"/>
              </w:rPr>
              <w:t>chat/src/main/kotlin/com/plcoding/chirp/service/ChatService.kt</w:t>
            </w:r>
          </w:p>
        </w:tc>
        <w:tc>
          <w:tcPr>
            <w:tcW w:type="dxa" w:w="1680"/>
          </w:tcPr>
          <w:p>
            <w:r/>
            <w:r>
              <w:rPr>
                <w:b w:val="0"/>
                <w:color w:val="111827"/>
                <w:sz w:val="16"/>
              </w:rPr>
              <w:t>Data</w:t>
            </w:r>
          </w:p>
        </w:tc>
        <w:tc>
          <w:tcPr>
            <w:tcW w:type="dxa" w:w="1680"/>
          </w:tcPr>
          <w:p>
            <w:r/>
            <w:r>
              <w:rPr>
                <w:b w:val="0"/>
                <w:color w:val="111827"/>
                <w:sz w:val="16"/>
              </w:rPr>
              <w:t>calculation_logic</w:t>
            </w:r>
          </w:p>
        </w:tc>
        <w:tc>
          <w:tcPr>
            <w:tcW w:type="dxa" w:w="1680"/>
          </w:tcPr>
          <w:p>
            <w:r/>
            <w:r>
              <w:rPr>
                <w:b w:val="0"/>
                <w:color w:val="111827"/>
                <w:sz w:val="16"/>
              </w:rPr>
              <w:t>Balance is recalculated using the entered amount and current account value.</w:t>
            </w:r>
          </w:p>
        </w:tc>
        <w:tc>
          <w:tcPr>
            <w:tcW w:type="dxa" w:w="1680"/>
          </w:tcPr>
          <w:p>
            <w:r/>
            <w:r>
              <w:rPr>
                <w:b w:val="0"/>
                <w:color w:val="111827"/>
                <w:sz w:val="16"/>
              </w:rPr>
              <w:t>none</w:t>
            </w:r>
          </w:p>
        </w:tc>
      </w:tr>
      <w:tr>
        <w:tc>
          <w:tcPr>
            <w:tcW w:type="dxa" w:w="1680"/>
            <w:shd w:val="clear" w:color="auto" w:fill="F3F4F6"/>
          </w:tcPr>
          <w:p>
            <w:r/>
            <w:r>
              <w:rPr>
                <w:b w:val="0"/>
                <w:color w:val="111827"/>
                <w:sz w:val="16"/>
              </w:rPr>
              <w:t>BR-004</w:t>
            </w:r>
          </w:p>
        </w:tc>
        <w:tc>
          <w:tcPr>
            <w:tcW w:type="dxa" w:w="1680"/>
            <w:shd w:val="clear" w:color="auto" w:fill="F3F4F6"/>
          </w:tcPr>
          <w:p>
            <w:r/>
            <w:r>
              <w:rPr>
                <w:b w:val="0"/>
                <w:color w:val="111827"/>
                <w:sz w:val="16"/>
              </w:rPr>
              <w:t>gradle/wrapper/gradle-wrapper.properties</w:t>
            </w:r>
          </w:p>
        </w:tc>
        <w:tc>
          <w:tcPr>
            <w:tcW w:type="dxa" w:w="1680"/>
            <w:shd w:val="clear" w:color="auto" w:fill="F3F4F6"/>
          </w:tcPr>
          <w:p>
            <w:r/>
            <w:r>
              <w:rPr>
                <w:b w:val="0"/>
                <w:color w:val="111827"/>
                <w:sz w:val="16"/>
              </w:rPr>
              <w:t>Data</w:t>
            </w:r>
          </w:p>
        </w:tc>
        <w:tc>
          <w:tcPr>
            <w:tcW w:type="dxa" w:w="1680"/>
            <w:shd w:val="clear" w:color="auto" w:fill="F3F4F6"/>
          </w:tcPr>
          <w:p>
            <w:r/>
            <w:r>
              <w:rPr>
                <w:b w:val="0"/>
                <w:color w:val="111827"/>
                <w:sz w:val="16"/>
              </w:rPr>
              <w:t>calculation_logic</w:t>
            </w:r>
          </w:p>
        </w:tc>
        <w:tc>
          <w:tcPr>
            <w:tcW w:type="dxa" w:w="1680"/>
            <w:shd w:val="clear" w:color="auto" w:fill="F3F4F6"/>
          </w:tcPr>
          <w:p>
            <w:r/>
            <w:r>
              <w:rPr>
                <w:b w:val="0"/>
                <w:color w:val="111827"/>
                <w:sz w:val="16"/>
              </w:rPr>
              <w:t>Balance is recalculated using the entered amount and current account value.</w:t>
            </w:r>
          </w:p>
        </w:tc>
        <w:tc>
          <w:tcPr>
            <w:tcW w:type="dxa" w:w="1680"/>
            <w:shd w:val="clear" w:color="auto" w:fill="F3F4F6"/>
          </w:tcPr>
          <w:p>
            <w:r/>
            <w:r>
              <w:rPr>
                <w:b w:val="0"/>
                <w:color w:val="111827"/>
                <w:sz w:val="16"/>
              </w:rPr>
              <w:t>none</w:t>
            </w:r>
          </w:p>
        </w:tc>
      </w:tr>
      <w:tr>
        <w:tc>
          <w:tcPr>
            <w:tcW w:type="dxa" w:w="1680"/>
          </w:tcPr>
          <w:p>
            <w:r/>
            <w:r>
              <w:rPr>
                <w:b w:val="0"/>
                <w:color w:val="111827"/>
                <w:sz w:val="16"/>
              </w:rPr>
              <w:t>BR-005</w:t>
            </w:r>
          </w:p>
        </w:tc>
        <w:tc>
          <w:tcPr>
            <w:tcW w:type="dxa" w:w="1680"/>
          </w:tcPr>
          <w:p>
            <w:r/>
            <w:r>
              <w:rPr>
                <w:b w:val="0"/>
                <w:color w:val="111827"/>
                <w:sz w:val="16"/>
              </w:rPr>
              <w:t>gradle/wrapper/gradle-wrapper.properties</w:t>
            </w:r>
          </w:p>
        </w:tc>
        <w:tc>
          <w:tcPr>
            <w:tcW w:type="dxa" w:w="1680"/>
          </w:tcPr>
          <w:p>
            <w:r/>
            <w:r>
              <w:rPr>
                <w:b w:val="0"/>
                <w:color w:val="111827"/>
                <w:sz w:val="16"/>
              </w:rPr>
              <w:t>Data</w:t>
            </w:r>
          </w:p>
        </w:tc>
        <w:tc>
          <w:tcPr>
            <w:tcW w:type="dxa" w:w="1680"/>
          </w:tcPr>
          <w:p>
            <w:r/>
            <w:r>
              <w:rPr>
                <w:b w:val="0"/>
                <w:color w:val="111827"/>
                <w:sz w:val="16"/>
              </w:rPr>
              <w:t>calculation_logic</w:t>
            </w:r>
          </w:p>
        </w:tc>
        <w:tc>
          <w:tcPr>
            <w:tcW w:type="dxa" w:w="1680"/>
          </w:tcPr>
          <w:p>
            <w:r/>
            <w:r>
              <w:rPr>
                <w:b w:val="0"/>
                <w:color w:val="111827"/>
                <w:sz w:val="16"/>
              </w:rPr>
              <w:t>Balance is recalculated using the entered amount and current account value.</w:t>
            </w:r>
          </w:p>
        </w:tc>
        <w:tc>
          <w:tcPr>
            <w:tcW w:type="dxa" w:w="1680"/>
          </w:tcPr>
          <w:p>
            <w:r/>
            <w:r>
              <w:rPr>
                <w:b w:val="0"/>
                <w:color w:val="111827"/>
                <w:sz w:val="16"/>
              </w:rPr>
              <w:t>none</w:t>
            </w:r>
          </w:p>
        </w:tc>
      </w:tr>
    </w:tbl>
    <w:p>
      <w:r>
        <w:br w:type="page"/>
      </w:r>
    </w:p>
    <w:p>
      <w:pPr>
        <w:pStyle w:val="Heading1"/>
      </w:pPr>
      <w:r>
        <w:t>Section P - Form Flow Traces</w:t>
      </w:r>
    </w:p>
    <w:p>
      <w:r>
        <w:rPr>
          <w:b w:val="0"/>
          <w:color w:val="6B7280"/>
          <w:sz w:val="18"/>
        </w:rPr>
        <w:t>Capture and analyze golden flows to ensure baseline equivalence.</w:t>
      </w:r>
    </w:p>
    <w:p>
      <w:r>
        <w:br w:type="page"/>
      </w:r>
    </w:p>
    <w:p>
      <w:pPr>
        <w:pStyle w:val="Heading1"/>
      </w:pPr>
      <w:r>
        <w:t>Section Q - Form Traceability Matrix</w:t>
      </w:r>
    </w:p>
    <w:p>
      <w:r>
        <w:rPr>
          <w:b w:val="0"/>
          <w:color w:val="6B7280"/>
          <w:sz w:val="18"/>
        </w:rPr>
        <w:t>Ensure traceability throughout the modernization process for quality assurance.</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Outline of sprints for phased migration and testing.</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Identification and management of risks associated with the modernization effort.</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RISK-1</w:t>
            </w:r>
          </w:p>
        </w:tc>
        <w:tc>
          <w:tcPr>
            <w:tcW w:type="dxa" w:w="2520"/>
            <w:shd w:val="clear" w:color="auto" w:fill="FEE2E2"/>
          </w:tcPr>
          <w:p>
            <w:r/>
            <w:r>
              <w:rPr>
                <w:b w:val="0"/>
                <w:color w:val="111827"/>
                <w:sz w:val="16"/>
              </w:rPr>
              <w:t>HIGH</w:t>
            </w:r>
          </w:p>
        </w:tc>
        <w:tc>
          <w:tcPr>
            <w:tcW w:type="dxa" w:w="2520"/>
          </w:tcPr>
          <w:p>
            <w:r/>
            <w:r>
              <w:rPr>
                <w:b w:val="0"/>
                <w:color w:val="111827"/>
                <w:sz w:val="16"/>
              </w:rPr>
              <w:t>Potential data loss during migration.</w:t>
            </w:r>
          </w:p>
        </w:tc>
        <w:tc>
          <w:tcPr>
            <w:tcW w:type="dxa" w:w="2520"/>
          </w:tcPr>
          <w:p>
            <w:r/>
            <w:r>
              <w:rPr>
                <w:b w:val="0"/>
                <w:color w:val="111827"/>
                <w:sz w:val="16"/>
              </w:rPr>
              <w:t>Implement thorough data validation and backup procedures.</w:t>
            </w:r>
          </w:p>
        </w:tc>
      </w:tr>
      <w:tr>
        <w:tc>
          <w:tcPr>
            <w:tcW w:type="dxa" w:w="2520"/>
            <w:shd w:val="clear" w:color="auto" w:fill="F3F4F6"/>
          </w:tcPr>
          <w:p>
            <w:r/>
            <w:r>
              <w:rPr>
                <w:b w:val="0"/>
                <w:color w:val="111827"/>
                <w:sz w:val="16"/>
              </w:rPr>
              <w:t>RISK-2</w:t>
            </w:r>
          </w:p>
        </w:tc>
        <w:tc>
          <w:tcPr>
            <w:tcW w:type="dxa" w:w="2520"/>
            <w:shd w:val="clear" w:color="auto" w:fill="F3F4F6"/>
            <w:shd w:val="clear" w:color="auto" w:fill="FEF3C7"/>
          </w:tcPr>
          <w:p>
            <w:r/>
            <w:r>
              <w:rPr>
                <w:b w:val="0"/>
                <w:color w:val="111827"/>
                <w:sz w:val="16"/>
              </w:rPr>
              <w:t>MEDIUM</w:t>
            </w:r>
          </w:p>
        </w:tc>
        <w:tc>
          <w:tcPr>
            <w:tcW w:type="dxa" w:w="2520"/>
            <w:shd w:val="clear" w:color="auto" w:fill="F3F4F6"/>
          </w:tcPr>
          <w:p>
            <w:r/>
            <w:r>
              <w:rPr>
                <w:b w:val="0"/>
                <w:color w:val="111827"/>
                <w:sz w:val="16"/>
              </w:rPr>
              <w:t>Incompatibility of existing configurations with Go.</w:t>
            </w:r>
          </w:p>
        </w:tc>
        <w:tc>
          <w:tcPr>
            <w:tcW w:type="dxa" w:w="2520"/>
            <w:shd w:val="clear" w:color="auto" w:fill="F3F4F6"/>
          </w:tcPr>
          <w:p>
            <w:r/>
            <w:r>
              <w:rPr>
                <w:b w:val="0"/>
                <w:color w:val="111827"/>
                <w:sz w:val="16"/>
              </w:rPr>
              <w:t>Conduct compatibility assessments and adjust configurations as needed.</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artifact://legacy_inventory/1.0/art_legacy_inventory_69a7d79eb3ba4845</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artifact://repo_landscape/1.0/art_repo_landscape_ad4f3b8bf5c04317</w:t>
            </w:r>
          </w:p>
        </w:tc>
      </w:tr>
      <w:tr>
        <w:tc>
          <w:tcPr>
            <w:tcW w:type="dxa" w:w="5040"/>
          </w:tcPr>
          <w:p>
            <w:r/>
            <w:r>
              <w:rPr>
                <w:b w:val="0"/>
                <w:color w:val="111827"/>
                <w:sz w:val="16"/>
              </w:rPr>
              <w:t>scope_lock_ref</w:t>
            </w:r>
          </w:p>
        </w:tc>
        <w:tc>
          <w:tcPr>
            <w:tcW w:type="dxa" w:w="5040"/>
          </w:tcPr>
          <w:p>
            <w:r/>
            <w:r>
              <w:rPr>
                <w:b w:val="0"/>
                <w:color w:val="111827"/>
                <w:sz w:val="16"/>
              </w:rPr>
              <w:t>artifact://scope_lock/1.0/art_scope_lock_a487abc25cc14c5c</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artifact://variant_inventory/1.0/art_variant_inventory_3f216235732540ef</w:t>
            </w:r>
          </w:p>
        </w:tc>
      </w:tr>
      <w:tr>
        <w:tc>
          <w:tcPr>
            <w:tcW w:type="dxa" w:w="5040"/>
          </w:tcPr>
          <w:p>
            <w:r/>
            <w:r>
              <w:rPr>
                <w:b w:val="0"/>
                <w:color w:val="111827"/>
                <w:sz w:val="16"/>
              </w:rPr>
              <w:t>event_map_ref</w:t>
            </w:r>
          </w:p>
        </w:tc>
        <w:tc>
          <w:tcPr>
            <w:tcW w:type="dxa" w:w="5040"/>
          </w:tcPr>
          <w:p>
            <w:r/>
            <w:r>
              <w:rPr>
                <w:b w:val="0"/>
                <w:color w:val="111827"/>
                <w:sz w:val="16"/>
              </w:rPr>
              <w:t>artifact://event_map/1.0/art_event_map_329315c7f58f4b68</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artifact://sql_catalog/1.0/art_sql_catalog_116292ea0d5d44d8</w:t>
            </w:r>
          </w:p>
        </w:tc>
      </w:tr>
      <w:tr>
        <w:tc>
          <w:tcPr>
            <w:tcW w:type="dxa" w:w="5040"/>
          </w:tcPr>
          <w:p>
            <w:r/>
            <w:r>
              <w:rPr>
                <w:b w:val="0"/>
                <w:color w:val="111827"/>
                <w:sz w:val="16"/>
              </w:rPr>
              <w:t>sql_map_ref</w:t>
            </w:r>
          </w:p>
        </w:tc>
        <w:tc>
          <w:tcPr>
            <w:tcW w:type="dxa" w:w="5040"/>
          </w:tcPr>
          <w:p>
            <w:r/>
            <w:r>
              <w:rPr>
                <w:b w:val="0"/>
                <w:color w:val="111827"/>
                <w:sz w:val="16"/>
              </w:rPr>
              <w:t>artifact://sql_map/1.0/art_sql_map_74138caeede8449d</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artifact://data_access_map/1.0/art_data_access_map_e446673cc04e4b16</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artifact://recordset_ops/1.0/art_recordset_ops_d89fe0be108a44e2</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artifact://procedure_summary/1.0/art_procedure_summary_659b5bc5c2e04be0</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artifact://form_dossier/1.0/art_form_dossier_23e4c6a11eec4465</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artifact://dependency_inventory/1.0/art_dependency_inventory_1697fb160b094448</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artifact://dependency_inventory/1.0/art_dependency_inventory_1697fb160b094448</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artifact://business_rule_catalog/1.0/art_business_rule_catalog_9333e5459cd44ba0</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artifact://detector_findings/1.0/art_detector_findings_6963ad0352464cdd</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artifact://risk_register/1.0/art_risk_register_5ad43192dd0f41e5</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artifact://orphan_analysis/1.0/art_orphan_analysis_b461e620b1704ab8</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artifact://delivery_constitution/1.0/art_delivery_constitution_6999089cd48c48ed</w:t>
            </w:r>
          </w:p>
        </w:tc>
      </w:tr>
      <w:tr>
        <w:tc>
          <w:tcPr>
            <w:tcW w:type="dxa" w:w="5040"/>
          </w:tcPr>
          <w:p>
            <w:r/>
            <w:r>
              <w:rPr>
                <w:b w:val="0"/>
                <w:color w:val="111827"/>
                <w:sz w:val="16"/>
              </w:rPr>
              <w:t>source_db_profile_ref</w:t>
            </w:r>
          </w:p>
        </w:tc>
        <w:tc>
          <w:tcPr>
            <w:tcW w:type="dxa" w:w="5040"/>
          </w:tcPr>
          <w:p>
            <w:r/>
            <w:r>
              <w:rPr>
                <w:b w:val="0"/>
                <w:color w:val="111827"/>
                <w:sz w:val="16"/>
              </w:rPr>
              <w:t>artifact://source_db_profile/1.0/art_source_db_profile_288e297552b149e6</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artifact://source_schema_model/1.0/art_source_schema_model_f16ac224ed0246b0</w:t>
            </w:r>
          </w:p>
        </w:tc>
      </w:tr>
      <w:tr>
        <w:tc>
          <w:tcPr>
            <w:tcW w:type="dxa" w:w="5040"/>
          </w:tcPr>
          <w:p>
            <w:r/>
            <w:r>
              <w:rPr>
                <w:b w:val="0"/>
                <w:color w:val="111827"/>
                <w:sz w:val="16"/>
              </w:rPr>
              <w:t>source_query_catalog_ref</w:t>
            </w:r>
          </w:p>
        </w:tc>
        <w:tc>
          <w:tcPr>
            <w:tcW w:type="dxa" w:w="5040"/>
          </w:tcPr>
          <w:p>
            <w:r/>
            <w:r>
              <w:rPr>
                <w:b w:val="0"/>
                <w:color w:val="111827"/>
                <w:sz w:val="16"/>
              </w:rPr>
              <w:t>artifact://source_query_catalog/1.0/art_source_query_catalog_06dd270ce6664f74</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artifact://source_relationship_candidates/1.0/art_source_relationship_candidates_62651614296b484e</w:t>
            </w:r>
          </w:p>
        </w:tc>
      </w:tr>
      <w:tr>
        <w:tc>
          <w:tcPr>
            <w:tcW w:type="dxa" w:w="5040"/>
          </w:tcPr>
          <w:p>
            <w:r/>
            <w:r>
              <w:rPr>
                <w:b w:val="0"/>
                <w:color w:val="111827"/>
                <w:sz w:val="16"/>
              </w:rPr>
              <w:t>source_data_dictionary_ref</w:t>
            </w:r>
          </w:p>
        </w:tc>
        <w:tc>
          <w:tcPr>
            <w:tcW w:type="dxa" w:w="5040"/>
          </w:tcPr>
          <w:p>
            <w:r/>
            <w:r>
              <w:rPr>
                <w:b w:val="0"/>
                <w:color w:val="111827"/>
                <w:sz w:val="16"/>
              </w:rPr>
              <w:t>artifact://source_data_dictionary/1.0/art_source_data_dictionary_ceb5dc4e52ea485e</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artifact://source_data_dictionary_markdown/1.0/art_source_data_dictionary_markdown_9042818d2fbb4219</w:t>
            </w:r>
          </w:p>
        </w:tc>
      </w:tr>
      <w:tr>
        <w:tc>
          <w:tcPr>
            <w:tcW w:type="dxa" w:w="5040"/>
          </w:tcPr>
          <w:p>
            <w:r/>
            <w:r>
              <w:rPr>
                <w:b w:val="0"/>
                <w:color w:val="111827"/>
                <w:sz w:val="16"/>
              </w:rPr>
              <w:t>source_erd_ref</w:t>
            </w:r>
          </w:p>
        </w:tc>
        <w:tc>
          <w:tcPr>
            <w:tcW w:type="dxa" w:w="5040"/>
          </w:tcPr>
          <w:p>
            <w:r/>
            <w:r>
              <w:rPr>
                <w:b w:val="0"/>
                <w:color w:val="111827"/>
                <w:sz w:val="16"/>
              </w:rPr>
              <w:t>artifact://source_erd/1.0/art_source_erd_802b2f7a1e5649af</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artifact://source_hotspot_report/1.0/art_source_hotspot_report_ecd393b4395d4518</w:t>
            </w:r>
          </w:p>
        </w:tc>
      </w:tr>
      <w:tr>
        <w:tc>
          <w:tcPr>
            <w:tcW w:type="dxa" w:w="5040"/>
          </w:tcPr>
          <w:p>
            <w:r/>
            <w:r>
              <w:rPr>
                <w:b w:val="0"/>
                <w:color w:val="111827"/>
                <w:sz w:val="16"/>
              </w:rPr>
              <w:t>target_schema_model_ref</w:t>
            </w:r>
          </w:p>
        </w:tc>
        <w:tc>
          <w:tcPr>
            <w:tcW w:type="dxa" w:w="5040"/>
          </w:tcPr>
          <w:p>
            <w:r/>
            <w:r>
              <w:rPr>
                <w:b w:val="0"/>
                <w:color w:val="111827"/>
                <w:sz w:val="16"/>
              </w:rPr>
              <w:t>artifact://target_schema_model/1.0/art_target_schema_model_8e06484002564ef7</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artifact://target_erd/1.0/art_target_erd_6996e12e80a54c0f</w:t>
            </w:r>
          </w:p>
        </w:tc>
      </w:tr>
      <w:tr>
        <w:tc>
          <w:tcPr>
            <w:tcW w:type="dxa" w:w="5040"/>
          </w:tcPr>
          <w:p>
            <w:r/>
            <w:r>
              <w:rPr>
                <w:b w:val="0"/>
                <w:color w:val="111827"/>
                <w:sz w:val="16"/>
              </w:rPr>
              <w:t>target_data_dictionary_ref</w:t>
            </w:r>
          </w:p>
        </w:tc>
        <w:tc>
          <w:tcPr>
            <w:tcW w:type="dxa" w:w="5040"/>
          </w:tcPr>
          <w:p>
            <w:r/>
            <w:r>
              <w:rPr>
                <w:b w:val="0"/>
                <w:color w:val="111827"/>
                <w:sz w:val="16"/>
              </w:rPr>
              <w:t>artifact://target_data_dictionary/1.0/art_target_data_dictionary_e61a682007a8474d</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artifact://schema_mapping_matrix/1.0/art_schema_mapping_matrix_c7bf8f47ba854f2a</w:t>
            </w:r>
          </w:p>
        </w:tc>
      </w:tr>
      <w:tr>
        <w:tc>
          <w:tcPr>
            <w:tcW w:type="dxa" w:w="5040"/>
          </w:tcPr>
          <w:p>
            <w:r/>
            <w:r>
              <w:rPr>
                <w:b w:val="0"/>
                <w:color w:val="111827"/>
                <w:sz w:val="16"/>
              </w:rPr>
              <w:t>migration_plan_ref</w:t>
            </w:r>
          </w:p>
        </w:tc>
        <w:tc>
          <w:tcPr>
            <w:tcW w:type="dxa" w:w="5040"/>
          </w:tcPr>
          <w:p>
            <w:r/>
            <w:r>
              <w:rPr>
                <w:b w:val="0"/>
                <w:color w:val="111827"/>
                <w:sz w:val="16"/>
              </w:rPr>
              <w:t>artifact://migration_plan/1.0/art_migration_plan_3154aeffaa584c5e</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artifact://validation_harness_spec/1.0/art_validation_harness_spec_d86f1cd671254f39</w:t>
            </w:r>
          </w:p>
        </w:tc>
      </w:tr>
      <w:tr>
        <w:tc>
          <w:tcPr>
            <w:tcW w:type="dxa" w:w="5040"/>
          </w:tcPr>
          <w:p>
            <w:r/>
            <w:r>
              <w:rPr>
                <w:b w:val="0"/>
                <w:color w:val="111827"/>
                <w:sz w:val="16"/>
              </w:rPr>
              <w:t>db_qa_report_ref</w:t>
            </w:r>
          </w:p>
        </w:tc>
        <w:tc>
          <w:tcPr>
            <w:tcW w:type="dxa" w:w="5040"/>
          </w:tcPr>
          <w:p>
            <w:r/>
            <w:r>
              <w:rPr>
                <w:b w:val="0"/>
                <w:color w:val="111827"/>
                <w:sz w:val="16"/>
              </w:rPr>
              <w:t>artifact://db_qa_report/1.0/art_db_qa_report_6f29f32fa1274e34</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artifact://schema_approval_record/1.0/art_schema_approval_record_3371df5eda2245c7</w:t>
            </w:r>
          </w:p>
        </w:tc>
      </w:tr>
      <w:tr>
        <w:tc>
          <w:tcPr>
            <w:tcW w:type="dxa" w:w="5040"/>
          </w:tcPr>
          <w:p>
            <w:r/>
            <w:r>
              <w:rPr>
                <w:b w:val="0"/>
                <w:color w:val="111827"/>
                <w:sz w:val="16"/>
              </w:rPr>
              <w:t>schema_drift_report_ref</w:t>
            </w:r>
          </w:p>
        </w:tc>
        <w:tc>
          <w:tcPr>
            <w:tcW w:type="dxa" w:w="5040"/>
          </w:tcPr>
          <w:p>
            <w:r/>
            <w:r>
              <w:rPr>
                <w:b w:val="0"/>
                <w:color w:val="111827"/>
                <w:sz w:val="16"/>
              </w:rPr>
              <w:t>artifact://schema_drift_report/1.0/art_schema_drift_report_71b24f1ffe624ab4</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artifact://variant_diff_report/1.0/art_variant_diff_report_7e3e401f6a8649ef</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artifact://reporting_model/1.0/art_reporting_model_afef39c7783e4c34</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artifact://identity_access_model/1.0/art_identity_access_model_42d470bb1c894cfc</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artifact://discover_review_checklist/1.0/art_discover_review_checklist_39fb6ec21f224991</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artifact://artifact_index/1.0/art_artifact_index_e9671b5e9a7a4263</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runctx://runctx-2f7da939587d46e4/kctx-15b3c2bc8c946c76</w:t>
            </w:r>
          </w:p>
        </w:tc>
      </w:tr>
      <w:tr>
        <w:tc>
          <w:tcPr>
            <w:tcW w:type="dxa" w:w="5040"/>
          </w:tcPr>
          <w:p>
            <w:r/>
            <w:r>
              <w:rPr>
                <w:b w:val="0"/>
                <w:color w:val="111827"/>
                <w:sz w:val="16"/>
              </w:rPr>
              <w:t>run_delivery_constitution_ref</w:t>
            </w:r>
          </w:p>
        </w:tc>
        <w:tc>
          <w:tcPr>
            <w:tcW w:type="dxa" w:w="5040"/>
          </w:tcPr>
          <w:p>
            <w:r/>
            <w:r>
              <w:rPr>
                <w:b w:val="0"/>
                <w:color w:val="111827"/>
                <w:sz w:val="16"/>
              </w:rPr>
              <w:t>runctx://runctx-2f7da939587d46e4/delivery_constitution/const-67c7f83f664f</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