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Modernization Workbook</w:t>
            </w:r>
          </w:p>
        </w:tc>
      </w:tr>
    </w:tbl>
    <w:p>
      <w:r>
        <w:rPr>
          <w:b/>
          <w:color w:val="1F6B75"/>
          <w:sz w:val="26"/>
        </w:rPr>
        <w:t>MagicBox Modernization</w:t>
      </w:r>
    </w:p>
    <w:p>
      <w:r>
        <w:rPr>
          <w:b w:val="0"/>
          <w:color w:val="111827"/>
          <w:sz w:val="20"/>
        </w:rPr>
        <w:t>A comprehensive guide to modernizing ECA intake document flows and method translations.</w:t>
      </w:r>
    </w:p>
    <w:p>
      <w:r>
        <w:rPr>
          <w:b w:val="0"/>
          <w:color w:val="6B7280"/>
          <w:sz w:val="18"/>
        </w:rPr>
        <w:t>Run 20260515_171632_6aeb4f39  ·  Generated 2026-05-15T21:17:14.086012+00:00  ·  Repo Synthetix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project, objectives, and strategic approach.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Verify the flow of ECA intake documents into various components and translate 15 methods across selected components without module filtering.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Full upgrade / translation + remediation recommended.</w:t>
      </w:r>
    </w:p>
    <w:p>
      <w:r>
        <w:rPr>
          <w:b w:val="0"/>
          <w:color w:val="111827"/>
          <w:sz w:val="20"/>
        </w:rPr>
        <w:t>The MagicBox Modernization project aims to verify the flow of ECA intake documents into various components and translate 15 methods across selected components without module filtering. With a readiness score of 45 and a medium risk tier, the project employs a strategy of full upgrade and translation with remediation. This involves capturing golden flows, migrating forms with dependency controls, and finalizing quality gates for release.</w:t>
      </w:r>
    </w:p>
    <w:p>
      <w:pPr>
        <w:pStyle w:val="ListParagraph"/>
      </w:pPr>
      <w:r>
        <w:rPr>
          <w:b w:val="0"/>
          <w:color w:val="111827"/>
          <w:sz w:val="18"/>
        </w:rPr>
        <w:t>- Objective: Verify ECA document flows and translate 15 methods.</w:t>
      </w:r>
    </w:p>
    <w:p>
      <w:pPr>
        <w:pStyle w:val="ListParagraph"/>
      </w:pPr>
      <w:r>
        <w:rPr>
          <w:b w:val="0"/>
          <w:color w:val="111827"/>
          <w:sz w:val="18"/>
        </w:rPr>
        <w:t>- Strategy: Full upgrade with remediation and equivalence testing.</w:t>
      </w:r>
    </w:p>
    <w:p>
      <w:pPr>
        <w:pStyle w:val="ListParagraph"/>
      </w:pPr>
      <w:r>
        <w:rPr>
          <w:b w:val="0"/>
          <w:color w:val="111827"/>
          <w:sz w:val="18"/>
        </w:rPr>
        <w:t>- Readiness score: 45, indicating moderate preparedness.</w:t>
      </w:r>
    </w:p>
    <w:p>
      <w:pPr>
        <w:pStyle w:val="ListParagraph"/>
      </w:pPr>
      <w:r>
        <w:rPr>
          <w:b w:val="0"/>
          <w:color w:val="111827"/>
          <w:sz w:val="18"/>
        </w:rPr>
        <w:t>- Risk tier: Medium, requiring careful management.</w:t>
      </w:r>
    </w:p>
    <w:p>
      <w:pPr>
        <w:pStyle w:val="ListParagraph"/>
      </w:pPr>
      <w:r>
        <w:rPr>
          <w:b w:val="0"/>
          <w:color w:val="111827"/>
          <w:sz w:val="18"/>
        </w:rPr>
        <w:t>- Phases include baseline capture, migration, and hardening.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45/100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medium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r>
        <w:rPr>
          <w:b/>
          <w:color w:val="2E75B6"/>
          <w:sz w:val="18"/>
        </w:rPr>
        <w:t xml:space="preserve">Readiness Score: </w:t>
      </w:r>
      <w:r>
        <w:rPr>
          <w:b w:val="0"/>
          <w:color w:val="111827"/>
          <w:sz w:val="18"/>
        </w:rPr>
        <w:t>Current readiness score is 45, indicating moderate preparedness.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Full upgrade / translation + remediation: </w:t>
      </w:r>
      <w:r>
        <w:rPr>
          <w:b w:val="0"/>
          <w:color w:val="111827"/>
          <w:sz w:val="20"/>
        </w:rPr>
        <w:t>Controlled translation with remediation and equivalence testing is viable.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(1/3)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Payroll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Analysis of dependencies and their impact on modernization efforts.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examination of forms involved in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Payroll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Data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calculation_logic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Business behavior is enforced through data and calculation logic.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Tracking the flow of ECA intake documents through system components.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traceability of changes and translations across components.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 activities and timelines for modernization phases.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Assessment of potential risks and mitigation strategies.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integration issues with third-party services.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Conduct thorough integration testing and have fallback plans.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Performance degradation during peak loads.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Implement load testing and optimize code.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artifact://legacy_inventory/1.0/art_legacy_inventory_e9c2459a71394311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artifact://repo_landscape/1.0/art_repo_landscape_1114adbdf44c412c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artifact://scope_lock/1.0/art_scope_lock_b147029c9cf64d6e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artifact://variant_inventory/1.0/art_variant_inventory_283b8659599542c5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artifact://event_map/1.0/art_event_map_bbeca9f1c07f4d75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artifact://sql_catalog/1.0/art_sql_catalog_3ff24e3777804936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artifact://sql_map/1.0/art_sql_map_2af6d845d19b4c06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artifact://data_access_map/1.0/art_data_access_map_b05434b9fc6b4ec2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artifact://recordset_ops/1.0/art_recordset_ops_b55732d31d074602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artifact://procedure_summary/1.0/art_procedure_summary_067766f6173a415d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artifact://form_dossier/1.0/art_form_dossier_ddb95d2de5ff47a9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artifact://dependency_inventory/1.0/art_dependency_inventory_f0cdf43dd6f64042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artifact://dependency_inventory/1.0/art_dependency_inventory_f0cdf43dd6f64042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artifact://business_rule_catalog/1.0/art_business_rule_catalog_e8dc5c70788d4c10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artifact://detector_findings/1.0/art_detector_findings_3e1a2a424e434332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artifact://risk_register/1.0/art_risk_register_11b83229c38c4a73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artifact://orphan_analysis/1.0/art_orphan_analysis_ffb2b63bf37b452f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artifact://delivery_constitution/1.0/art_delivery_constitution_6c1a3476676b4d87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artifact://variant_diff_report/1.0/art_variant_diff_report_a38b5339a8134476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artifact://reporting_model/1.0/art_reporting_model_55d2778b30c5481f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artifact://identity_access_model/1.0/art_identity_access_model_dff7276ae0ba4366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artifact://discover_review_checklist/1.0/art_discover_review_checklist_172dec81695544de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artifact://artifact_index/1.0/art_artifact_index_4d3b7ef9c24445f8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runctx://runctx-27efaea880186b7b/kctx-6c852fcceab50a55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runctx://runctx-27efaea880186b7b/delivery_constitution/const-50ed97611201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