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 Phase 4 Verification Workbook</w:t>
            </w:r>
          </w:p>
        </w:tc>
      </w:tr>
    </w:tbl>
    <w:p>
      <w:r>
        <w:rPr>
          <w:b/>
          <w:color w:val="1F6B75"/>
          <w:sz w:val="26"/>
        </w:rPr>
        <w:t>Legacy Modernization Scope</w:t>
      </w:r>
    </w:p>
    <w:p>
      <w:r>
        <w:rPr>
          <w:b w:val="0"/>
          <w:color w:val="111827"/>
          <w:sz w:val="20"/>
        </w:rPr>
        <w:t>DP-05 paradigm guard verification with helper resolver integration and contractor signature validation for controlled modernization phases</w:t>
      </w:r>
    </w:p>
    <w:p>
      <w:r>
        <w:rPr>
          <w:b w:val="0"/>
          <w:color w:val="6B7280"/>
          <w:sz w:val="18"/>
        </w:rPr>
        <w:t>Run 20260513_000846_4eb5b80b  ·  Generated 2026-05-13T00:10:04.805351+00:00  ·  Repo app</w:t>
      </w:r>
    </w:p>
    <w:p/>
    <w:p>
      <w:pPr>
        <w:pStyle w:val="Heading1"/>
      </w:pPr>
      <w:r>
        <w:t>Executive Snapshot</w:t>
      </w:r>
    </w:p>
    <w:p>
      <w:r>
        <w:rPr>
          <w:b w:val="0"/>
          <w:color w:val="6B7280"/>
          <w:sz w:val="18"/>
        </w:rPr>
        <w:t>High-level overview of Phase 4 verification status, readiness metrics, and strategic alignment with DP-05 paradigm guard implementation for legacy modernization scope.</w:t>
      </w:r>
    </w:p>
    <w:p>
      <w:r>
        <w:rPr>
          <w:b/>
          <w:color w:val="2E75B6"/>
          <w:sz w:val="20"/>
        </w:rPr>
        <w:t xml:space="preserve">Objective: </w:t>
      </w:r>
      <w:r>
        <w:rPr>
          <w:b w:val="0"/>
          <w:color w:val="111827"/>
          <w:sz w:val="20"/>
        </w:rPr>
        <w:t>Phase 4 verification (DP-05 paradigm guard active) — helper resolver + signatures + fourth pass on Contractor.</w:t>
      </w:r>
    </w:p>
    <w:p>
      <w:r>
        <w:rPr>
          <w:b/>
          <w:color w:val="2E75B6"/>
          <w:sz w:val="20"/>
        </w:rPr>
        <w:t xml:space="preserve">Summary: </w:t>
      </w:r>
      <w:r>
        <w:rPr>
          <w:b w:val="0"/>
          <w:color w:val="111827"/>
          <w:sz w:val="20"/>
        </w:rPr>
        <w:t>Phased modernization recommended.</w:t>
      </w:r>
    </w:p>
    <w:p>
      <w:r>
        <w:rPr>
          <w:b w:val="0"/>
          <w:color w:val="111827"/>
          <w:sz w:val="20"/>
        </w:rPr>
        <w:t>This workbook documents the Phase 4 verification process for the Legacy Modernization Scope project, focusing on DP-05 paradigm guard activation with helper resolver and signature validation. The project maintains a medium risk tier with 60% readiness score, implementing a phased modernization strategy that preserves existing behavior while enabling controlled transformation. The three-phase approach begins with baseline establishment and golden flow capture, progresses through incremental migration with dependency risk controls, and concludes with hardening and release evidence generation. This verification phase ensures all components align with modernization objectives while maintaining system integrity throughout the transformation process.</w:t>
      </w:r>
    </w:p>
    <w:p>
      <w:pPr>
        <w:pStyle w:val="ListParagraph"/>
      </w:pPr>
      <w:r>
        <w:rPr>
          <w:b w:val="0"/>
          <w:color w:val="111827"/>
          <w:sz w:val="18"/>
        </w:rPr>
        <w:t>- Phase 4 verification active with DP-05 paradigm guard and helper resolver integration</w:t>
      </w:r>
    </w:p>
    <w:p>
      <w:pPr>
        <w:pStyle w:val="ListParagraph"/>
      </w:pPr>
      <w:r>
        <w:rPr>
          <w:b w:val="0"/>
          <w:color w:val="111827"/>
          <w:sz w:val="18"/>
        </w:rPr>
        <w:t>- Medium risk tier project at 60% readiness with controlled phased modernization approach</w:t>
      </w:r>
    </w:p>
    <w:p>
      <w:pPr>
        <w:pStyle w:val="ListParagraph"/>
      </w:pPr>
      <w:r>
        <w:rPr>
          <w:b w:val="0"/>
          <w:color w:val="111827"/>
          <w:sz w:val="18"/>
        </w:rPr>
        <w:t>- Three-phase strategy: baseline capture, incremental migration, and hardening with evidence</w:t>
      </w:r>
    </w:p>
    <w:p>
      <w:pPr>
        <w:pStyle w:val="ListParagraph"/>
      </w:pPr>
      <w:r>
        <w:rPr>
          <w:b w:val="0"/>
          <w:color w:val="111827"/>
          <w:sz w:val="18"/>
        </w:rPr>
        <w:t>- Contractor signature validation and fourth-pass verification ensuring quality gates</w:t>
      </w:r>
    </w:p>
    <w:p>
      <w:pPr>
        <w:pStyle w:val="ListParagraph"/>
      </w:pPr>
      <w:r>
        <w:rPr>
          <w:b w:val="0"/>
          <w:color w:val="111827"/>
          <w:sz w:val="18"/>
        </w:rPr>
        <w:t>- Behavior preservation prioritized before modernization in controlled transformation phases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Risk Tier: </w:t>
      </w:r>
      <w:r>
        <w:rPr>
          <w:b w:val="0"/>
          <w:color w:val="111827"/>
          <w:sz w:val="18"/>
        </w:rPr>
        <w:t>Medium risk classification requires enhanced monitoring and controlled phase transitions with documented exit criteria</w:t>
      </w:r>
    </w:p>
    <w:p>
      <w:r>
        <w:rPr>
          <w:b/>
          <w:color w:val="2E75B6"/>
          <w:sz w:val="18"/>
        </w:rPr>
        <w:t xml:space="preserve">Readiness: </w:t>
      </w:r>
      <w:r>
        <w:rPr>
          <w:b w:val="0"/>
          <w:color w:val="111827"/>
          <w:sz w:val="18"/>
        </w:rPr>
        <w:t>60% readiness score indicates additional preparation needed before full modernization deployment</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Visual representation of system dependencies and integration points affected by helper resolver and signature validation components in the modernization process.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documentation of form structures, data flows, and transformation requirements identified during the baseline and equivalence harness phase.</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Step-by-step execution paths and golden flow captures demonstrating system behavior preservation throughout the phased modernization approach.</w:t>
      </w:r>
    </w:p>
    <w:p>
      <w:r>
        <w:br w:type="page"/>
      </w:r>
    </w:p>
    <w:p>
      <w:pPr>
        <w:pStyle w:val="Heading1"/>
      </w:pPr>
      <w:r>
        <w:t>Section Q - Form Traceability Matrix</w:t>
      </w:r>
    </w:p>
    <w:p>
      <w:r>
        <w:rPr>
          <w:b w:val="0"/>
          <w:color w:val="6B7280"/>
          <w:sz w:val="18"/>
        </w:rPr>
        <w:t>Requirements mapping and verification trails linking modernization objectives to implementation phases and contractor signature validation processes.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Iterative development cycles and milestone tracking for Phase 4 verification activities including DP-05 paradigm guard integration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Risk assessment matrix covering medium-tier classification factors, mitigation strategies, and monitoring protocols for controlled modernization phases.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artifact://legacy_inventory/1.0/art_legacy_inventory_6a4854c9d09845f5</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artifact://repo_landscape/1.0/art_repo_landscape_1631b292195d4a0d</w:t>
            </w:r>
          </w:p>
        </w:tc>
      </w:tr>
      <w:tr>
        <w:tc>
          <w:tcPr>
            <w:tcW w:type="dxa" w:w="5040"/>
          </w:tcPr>
          <w:p>
            <w:r/>
            <w:r>
              <w:rPr>
                <w:b w:val="0"/>
                <w:color w:val="111827"/>
                <w:sz w:val="16"/>
              </w:rPr>
              <w:t>scope_lock_ref</w:t>
            </w:r>
          </w:p>
        </w:tc>
        <w:tc>
          <w:tcPr>
            <w:tcW w:type="dxa" w:w="5040"/>
          </w:tcPr>
          <w:p>
            <w:r/>
            <w:r>
              <w:rPr>
                <w:b w:val="0"/>
                <w:color w:val="111827"/>
                <w:sz w:val="16"/>
              </w:rPr>
              <w:t>artifact://scope_lock/1.0/art_scope_lock_17681e3c0d544c62</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artifact://variant_inventory/1.0/art_variant_inventory_e5e0274073a64676</w:t>
            </w:r>
          </w:p>
        </w:tc>
      </w:tr>
      <w:tr>
        <w:tc>
          <w:tcPr>
            <w:tcW w:type="dxa" w:w="5040"/>
          </w:tcPr>
          <w:p>
            <w:r/>
            <w:r>
              <w:rPr>
                <w:b w:val="0"/>
                <w:color w:val="111827"/>
                <w:sz w:val="16"/>
              </w:rPr>
              <w:t>event_map_ref</w:t>
            </w:r>
          </w:p>
        </w:tc>
        <w:tc>
          <w:tcPr>
            <w:tcW w:type="dxa" w:w="5040"/>
          </w:tcPr>
          <w:p>
            <w:r/>
            <w:r>
              <w:rPr>
                <w:b w:val="0"/>
                <w:color w:val="111827"/>
                <w:sz w:val="16"/>
              </w:rPr>
              <w:t>artifact://event_map/1.0/art_event_map_d85b1bfe5a384a7a</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artifact://sql_catalog/1.0/art_sql_catalog_165964e3a5b4483e</w:t>
            </w:r>
          </w:p>
        </w:tc>
      </w:tr>
      <w:tr>
        <w:tc>
          <w:tcPr>
            <w:tcW w:type="dxa" w:w="5040"/>
          </w:tcPr>
          <w:p>
            <w:r/>
            <w:r>
              <w:rPr>
                <w:b w:val="0"/>
                <w:color w:val="111827"/>
                <w:sz w:val="16"/>
              </w:rPr>
              <w:t>sql_map_ref</w:t>
            </w:r>
          </w:p>
        </w:tc>
        <w:tc>
          <w:tcPr>
            <w:tcW w:type="dxa" w:w="5040"/>
          </w:tcPr>
          <w:p>
            <w:r/>
            <w:r>
              <w:rPr>
                <w:b w:val="0"/>
                <w:color w:val="111827"/>
                <w:sz w:val="16"/>
              </w:rPr>
              <w:t>artifact://sql_map/1.0/art_sql_map_7920ec8cc1544426</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artifact://data_access_map/1.0/art_data_access_map_9d1ac627940d4f15</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artifact://recordset_ops/1.0/art_recordset_ops_9bc6c04a076a471a</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artifact://procedure_summary/1.0/art_procedure_summary_b790af78dc9d4dff</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artifact://form_dossier/1.0/art_form_dossier_6332f0f656ff4998</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artifact://dependency_inventory/1.0/art_dependency_inventory_d7fbba0e400543d5</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artifact://dependency_inventory/1.0/art_dependency_inventory_d7fbba0e400543d5</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artifact://business_rule_catalog/1.0/art_business_rule_catalog_2e631e239e3c4a80</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artifact://detector_findings/1.0/art_detector_findings_939d2c1311164b07</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artifact://risk_register/1.0/art_risk_register_76a5245e74024c01</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artifact://orphan_analysis/1.0/art_orphan_analysis_96e1599c05544d92</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artifact://delivery_constitution/1.0/art_delivery_constitution_93e04ccd545e4f71</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artifact://variant_diff_report/1.0/art_variant_diff_report_4e7285fba8124aca</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artifact://reporting_model/1.0/art_reporting_model_7cc659cc387c4845</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artifact://identity_access_model/1.0/art_identity_access_model_3cfefded95e14756</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artifact://discover_review_checklist/1.0/art_discover_review_checklist_e2268245afdd4c74</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artifact://artifact_index/1.0/art_artifact_index_cdade22193e74204</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runctx://runctx-eeef22b99333c65d/kctx-9902e42d32f8c0bb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runctx://runctx-eeef22b99333c65d/delivery_constitution/const-766ec0cefe43</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