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Modernization Workbook</w:t>
            </w:r>
          </w:p>
        </w:tc>
      </w:tr>
    </w:tbl>
    <w:p>
      <w:r>
        <w:rPr>
          <w:b/>
          <w:color w:val="1F6B75"/>
          <w:sz w:val="26"/>
        </w:rPr>
        <w:t>MagicBox Modernization</w:t>
      </w:r>
    </w:p>
    <w:p>
      <w:r>
        <w:rPr>
          <w:b w:val="0"/>
          <w:color w:val="111827"/>
          <w:sz w:val="20"/>
        </w:rPr>
        <w:t>Guidance for Modernizing the Codebase Using GPT-4o-Mini Translator</w:t>
      </w:r>
    </w:p>
    <w:p>
      <w:r>
        <w:rPr>
          <w:b w:val="0"/>
          <w:color w:val="6B7280"/>
          <w:sz w:val="18"/>
        </w:rPr>
        <w:t>Run 20260513_160719_b7e0926c  ·  Generated 2026-05-13T16:08:25.039466+00:00  ·  Repo app</w:t>
      </w:r>
    </w:p>
    <w:p/>
    <w:p>
      <w:pPr>
        <w:pStyle w:val="Heading1"/>
      </w:pPr>
      <w:r>
        <w:t>Executive Snapshot</w:t>
      </w:r>
    </w:p>
    <w:p>
      <w:r>
        <w:rPr>
          <w:b w:val="0"/>
          <w:color w:val="6B7280"/>
          <w:sz w:val="18"/>
        </w:rPr>
        <w:t>Overview of the modernization project, objectives, and strategic approach.</w:t>
      </w:r>
    </w:p>
    <w:p>
      <w:r>
        <w:rPr>
          <w:b/>
          <w:color w:val="2E75B6"/>
          <w:sz w:val="20"/>
        </w:rPr>
        <w:t xml:space="preserve">Objective: </w:t>
      </w:r>
      <w:r>
        <w:rPr>
          <w:b w:val="0"/>
          <w:color w:val="111827"/>
          <w:sz w:val="20"/>
        </w:rPr>
        <w:t>The objective is to modernize the codebase using the gpt-4o-mini translator for final validation in Phase 9.</w:t>
      </w:r>
    </w:p>
    <w:p>
      <w:r>
        <w:rPr>
          <w:b/>
          <w:color w:val="2E75B6"/>
          <w:sz w:val="20"/>
        </w:rPr>
        <w:t xml:space="preserve">Summary: </w:t>
      </w:r>
      <w:r>
        <w:rPr>
          <w:b w:val="0"/>
          <w:color w:val="111827"/>
          <w:sz w:val="20"/>
        </w:rPr>
        <w:t>Strangler Fig Pattern recommended.</w:t>
      </w:r>
    </w:p>
    <w:p>
      <w:r>
        <w:rPr>
          <w:b w:val="0"/>
          <w:color w:val="111827"/>
          <w:sz w:val="20"/>
        </w:rPr>
        <w:t>The MagicBox Modernization project aims to update the existing codebase by employing the gpt-4o-mini translator for final validation in Phase 9. Utilizing the Strangler Fig Pattern, the project seeks to gradually replace legacy components, ensuring minimal disruption. The strategy involves capturing baseline outputs, migrating forms with risk controls, and finalizing quality gates. Despite a high-risk tier and a readiness score of zero, the project is structured to systematically address dependencies and event handlers.</w:t>
      </w:r>
    </w:p>
    <w:p>
      <w:pPr>
        <w:pStyle w:val="ListParagraph"/>
      </w:pPr>
      <w:r>
        <w:rPr>
          <w:b w:val="0"/>
          <w:color w:val="111827"/>
          <w:sz w:val="18"/>
        </w:rPr>
        <w:t>- Objective: Modernize codebase using gpt-4o-mini translator.</w:t>
      </w:r>
    </w:p>
    <w:p>
      <w:pPr>
        <w:pStyle w:val="ListParagraph"/>
      </w:pPr>
      <w:r>
        <w:rPr>
          <w:b w:val="0"/>
          <w:color w:val="111827"/>
          <w:sz w:val="18"/>
        </w:rPr>
        <w:t>- Strategy: Strangler Fig Pattern for gradual replacement.</w:t>
      </w:r>
    </w:p>
    <w:p>
      <w:pPr>
        <w:pStyle w:val="ListParagraph"/>
      </w:pPr>
      <w:r>
        <w:rPr>
          <w:b w:val="0"/>
          <w:color w:val="111827"/>
          <w:sz w:val="18"/>
        </w:rPr>
        <w:t>- Phases: Baseline capture, migration, and hardening.</w:t>
      </w:r>
    </w:p>
    <w:p>
      <w:pPr>
        <w:pStyle w:val="ListParagraph"/>
      </w:pPr>
      <w:r>
        <w:rPr>
          <w:b w:val="0"/>
          <w:color w:val="111827"/>
          <w:sz w:val="18"/>
        </w:rPr>
        <w:t>- Risk Tier: High, with readiness score at zero.</w:t>
      </w:r>
    </w:p>
    <w:p>
      <w:pPr>
        <w:pStyle w:val="ListParagraph"/>
      </w:pPr>
      <w:r>
        <w:rPr>
          <w:b w:val="0"/>
          <w:color w:val="111827"/>
          <w:sz w:val="18"/>
        </w:rPr>
        <w:t>- Outcome: Minimize disruption during modernization.</w:t>
      </w:r>
    </w:p>
    <w:p>
      <w:pPr>
        <w:pStyle w:val="ListParagraph"/>
      </w:pPr>
      <w:r>
        <w:rPr>
          <w:b w:val="0"/>
          <w:color w:val="111827"/>
          <w:sz w:val="18"/>
        </w:rPr>
        <w:t>- Focus: Dependency management and quality assurance.</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Readiness: </w:t>
      </w:r>
      <w:r>
        <w:rPr>
          <w:b w:val="0"/>
          <w:color w:val="111827"/>
          <w:sz w:val="18"/>
        </w:rPr>
        <w:t>Current readiness score is zero, indicating initial phase.</w:t>
      </w:r>
    </w:p>
    <w:p>
      <w:pPr>
        <w:ind w:left="115"/>
      </w:pPr>
      <w:r>
        <w:rPr>
          <w:b/>
          <w:color w:val="2E75B6"/>
          <w:sz w:val="18"/>
        </w:rPr>
        <w:t xml:space="preserve">Risk: </w:t>
      </w:r>
      <w:r>
        <w:rPr>
          <w:b w:val="0"/>
          <w:color w:val="111827"/>
          <w:sz w:val="18"/>
        </w:rPr>
        <w:t>High-risk tier requires careful management.</w:t>
      </w:r>
    </w:p>
    <w:p>
      <w:pPr>
        <w:pStyle w:val="Heading2"/>
      </w:pPr>
      <w:r>
        <w:t>Recommended Modernization Strategy</w:t>
      </w:r>
    </w:p>
    <w:p>
      <w:r>
        <w:rPr>
          <w:b/>
          <w:color w:val="1F6B75"/>
          <w:sz w:val="20"/>
        </w:rPr>
        <w:t xml:space="preserve">Strangler Fig Pattern: </w:t>
      </w:r>
      <w:r>
        <w:rPr>
          <w:b w:val="0"/>
          <w:color w:val="111827"/>
          <w:sz w:val="20"/>
        </w:rPr>
        <w:t>Allows gradual replacement of legacy components with minimal disruption.</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Backlog grounded in discovered behavior (3 derived item(s), threshold 3).</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1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Staffing &amp; Recruitment</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Analysis of current dependencies and their impact on modernization.</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examination of forms and modules for migration.</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Staffing &amp; Recruitment</w:t>
            </w:r>
          </w:p>
        </w:tc>
        <w:tc>
          <w:tcPr>
            <w:tcW w:type="dxa" w:w="1680"/>
          </w:tcPr>
          <w:p>
            <w:r/>
            <w:r>
              <w:rPr>
                <w:b w:val="0"/>
                <w:color w:val="111827"/>
                <w:sz w:val="16"/>
              </w:rPr>
              <w:t>Presentation</w:t>
            </w:r>
          </w:p>
        </w:tc>
        <w:tc>
          <w:tcPr>
            <w:tcW w:type="dxa" w:w="1680"/>
          </w:tcPr>
          <w:p>
            <w:r/>
            <w:r>
              <w:rPr>
                <w:b w:val="0"/>
                <w:color w:val="111827"/>
                <w:sz w:val="16"/>
              </w:rPr>
              <w:t>workflow_orchestration</w:t>
            </w:r>
          </w:p>
        </w:tc>
        <w:tc>
          <w:tcPr>
            <w:tcW w:type="dxa" w:w="1680"/>
          </w:tcPr>
          <w:p>
            <w:r/>
            <w:r>
              <w:rPr>
                <w:b w:val="0"/>
                <w:color w:val="111827"/>
                <w:sz w:val="16"/>
              </w:rPr>
              <w:t>Placements must be approved by a co-approver before onboarding.</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Capture and analysis of golden flows for baseline outputs.</w:t>
      </w:r>
    </w:p>
    <w:p>
      <w:r>
        <w:br w:type="page"/>
      </w:r>
    </w:p>
    <w:p>
      <w:pPr>
        <w:pStyle w:val="Heading1"/>
      </w:pPr>
      <w:r>
        <w:t>Section Q - Form Traceability Matrix</w:t>
      </w:r>
    </w:p>
    <w:p>
      <w:r>
        <w:rPr>
          <w:b w:val="0"/>
          <w:color w:val="6B7280"/>
          <w:sz w:val="18"/>
        </w:rPr>
        <w:t>Ensuring traceability throughout the modernization process.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of sprints for incremental migration and dependency replacement.</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Identification and management of risks associated with modernization.</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performance degradation in translated code.</w:t>
            </w:r>
          </w:p>
        </w:tc>
        <w:tc>
          <w:tcPr>
            <w:tcW w:type="dxa" w:w="2520"/>
          </w:tcPr>
          <w:p>
            <w:r/>
            <w:r>
              <w:rPr>
                <w:b w:val="0"/>
                <w:color w:val="111827"/>
                <w:sz w:val="16"/>
              </w:rPr>
              <w:t>Conduct thorough performance testing and optimization.</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Security vulnerabilities introduced during translation.</w:t>
            </w:r>
          </w:p>
        </w:tc>
        <w:tc>
          <w:tcPr>
            <w:tcW w:type="dxa" w:w="2520"/>
            <w:shd w:val="clear" w:color="auto" w:fill="F3F4F6"/>
          </w:tcPr>
          <w:p>
            <w:r/>
            <w:r>
              <w:rPr>
                <w:b w:val="0"/>
                <w:color w:val="111827"/>
                <w:sz w:val="16"/>
              </w:rPr>
              <w:t>Perform security testing and code reviews.</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artifact://legacy_inventory/1.0/art_legacy_inventory_33eb718128b44564</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artifact://repo_landscape/1.0/art_repo_landscape_e9672f0278194ba6</w:t>
            </w:r>
          </w:p>
        </w:tc>
      </w:tr>
      <w:tr>
        <w:tc>
          <w:tcPr>
            <w:tcW w:type="dxa" w:w="5040"/>
          </w:tcPr>
          <w:p>
            <w:r/>
            <w:r>
              <w:rPr>
                <w:b w:val="0"/>
                <w:color w:val="111827"/>
                <w:sz w:val="16"/>
              </w:rPr>
              <w:t>scope_lock_ref</w:t>
            </w:r>
          </w:p>
        </w:tc>
        <w:tc>
          <w:tcPr>
            <w:tcW w:type="dxa" w:w="5040"/>
          </w:tcPr>
          <w:p>
            <w:r/>
            <w:r>
              <w:rPr>
                <w:b w:val="0"/>
                <w:color w:val="111827"/>
                <w:sz w:val="16"/>
              </w:rPr>
              <w:t>artifact://scope_lock/1.0/art_scope_lock_5ff9df114f7d417e</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artifact://variant_inventory/1.0/art_variant_inventory_b431ccff4ca148c1</w:t>
            </w:r>
          </w:p>
        </w:tc>
      </w:tr>
      <w:tr>
        <w:tc>
          <w:tcPr>
            <w:tcW w:type="dxa" w:w="5040"/>
          </w:tcPr>
          <w:p>
            <w:r/>
            <w:r>
              <w:rPr>
                <w:b w:val="0"/>
                <w:color w:val="111827"/>
                <w:sz w:val="16"/>
              </w:rPr>
              <w:t>event_map_ref</w:t>
            </w:r>
          </w:p>
        </w:tc>
        <w:tc>
          <w:tcPr>
            <w:tcW w:type="dxa" w:w="5040"/>
          </w:tcPr>
          <w:p>
            <w:r/>
            <w:r>
              <w:rPr>
                <w:b w:val="0"/>
                <w:color w:val="111827"/>
                <w:sz w:val="16"/>
              </w:rPr>
              <w:t>artifact://event_map/1.0/art_event_map_a7fca1c2ca974424</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artifact://sql_catalog/1.0/art_sql_catalog_eb44de066cf641e9</w:t>
            </w:r>
          </w:p>
        </w:tc>
      </w:tr>
      <w:tr>
        <w:tc>
          <w:tcPr>
            <w:tcW w:type="dxa" w:w="5040"/>
          </w:tcPr>
          <w:p>
            <w:r/>
            <w:r>
              <w:rPr>
                <w:b w:val="0"/>
                <w:color w:val="111827"/>
                <w:sz w:val="16"/>
              </w:rPr>
              <w:t>sql_map_ref</w:t>
            </w:r>
          </w:p>
        </w:tc>
        <w:tc>
          <w:tcPr>
            <w:tcW w:type="dxa" w:w="5040"/>
          </w:tcPr>
          <w:p>
            <w:r/>
            <w:r>
              <w:rPr>
                <w:b w:val="0"/>
                <w:color w:val="111827"/>
                <w:sz w:val="16"/>
              </w:rPr>
              <w:t>artifact://sql_map/1.0/art_sql_map_6552e8daaf304089</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artifact://data_access_map/1.0/art_data_access_map_b3aa38cb4ab54774</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artifact://recordset_ops/1.0/art_recordset_ops_1500f3c6a24e491b</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artifact://procedure_summary/1.0/art_procedure_summary_70992895c552427b</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artifact://form_dossier/1.0/art_form_dossier_e0ded7369e5648ba</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artifact://dependency_inventory/1.0/art_dependency_inventory_f413425231fb4926</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artifact://dependency_inventory/1.0/art_dependency_inventory_f413425231fb4926</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artifact://business_rule_catalog/1.0/art_business_rule_catalog_eba2af40535f41e1</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artifact://detector_findings/1.0/art_detector_findings_52ebf6988abf4099</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artifact://risk_register/1.0/art_risk_register_6417edeaa8784a57</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artifact://orphan_analysis/1.0/art_orphan_analysis_9c7c38e2e53e438d</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artifact://delivery_constitution/1.0/art_delivery_constitution_45d894420e1b41ff</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artifact://variant_diff_report/1.0/art_variant_diff_report_3bfc1947da76415f</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artifact://reporting_model/1.0/art_reporting_model_4ac30507f261439c</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artifact://identity_access_model/1.0/art_identity_access_model_7b629b921abb46f6</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artifact://discover_review_checklist/1.0/art_discover_review_checklist_aec80ea4715b4d94</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artifact://artifact_index/1.0/art_artifact_index_18d667d92043457b</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runctx://runctx-41329b3c46ef09ba/kctx-9902e42d32f8c0bb</w:t>
            </w:r>
          </w:p>
        </w:tc>
      </w:tr>
      <w:tr>
        <w:tc>
          <w:tcPr>
            <w:tcW w:type="dxa" w:w="5040"/>
          </w:tcPr>
          <w:p>
            <w:r/>
            <w:r>
              <w:rPr>
                <w:b w:val="0"/>
                <w:color w:val="111827"/>
                <w:sz w:val="16"/>
              </w:rPr>
              <w:t>run_delivery_constitution_ref</w:t>
            </w:r>
          </w:p>
        </w:tc>
        <w:tc>
          <w:tcPr>
            <w:tcW w:type="dxa" w:w="5040"/>
          </w:tcPr>
          <w:p>
            <w:r/>
            <w:r>
              <w:rPr>
                <w:b w:val="0"/>
                <w:color w:val="111827"/>
                <w:sz w:val="16"/>
              </w:rPr>
              <w:t>runctx://runctx-41329b3c46ef09ba/delivery_constitution/const-e06f9d97389f</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