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Final verification of the code modernization process with a two-pass translation approach.</w:t>
      </w:r>
    </w:p>
    <w:p>
      <w:r>
        <w:rPr>
          <w:b w:val="0"/>
          <w:color w:val="6B7280"/>
          <w:sz w:val="18"/>
        </w:rPr>
        <w:t>Run 20260512_223710_866c6841  ·  Generated 2026-05-12T22:37:46.471300+00:00  ·  Repo app</w:t>
      </w:r>
    </w:p>
    <w:p/>
    <w:p>
      <w:pPr>
        <w:pStyle w:val="Heading1"/>
      </w:pPr>
      <w:r>
        <w:t>Executive Snapshot</w:t>
      </w:r>
    </w:p>
    <w:p>
      <w:r>
        <w:rPr>
          <w:b w:val="0"/>
          <w:color w:val="6B7280"/>
          <w:sz w:val="18"/>
        </w:rPr>
        <w:t>Overview of the modernization strategy and current project status.</w:t>
      </w:r>
    </w:p>
    <w:p>
      <w:r>
        <w:rPr>
          <w:b/>
          <w:color w:val="2E75B6"/>
          <w:sz w:val="20"/>
        </w:rPr>
        <w:t xml:space="preserve">Objective: </w:t>
      </w:r>
      <w:r>
        <w:rPr>
          <w:b w:val="0"/>
          <w:color w:val="111827"/>
          <w:sz w:val="20"/>
        </w:rPr>
        <w:t>The objective is to perform final verification of the code modernization process, ensuring a two-pass translation with a per-file cap.</w:t>
      </w:r>
    </w:p>
    <w:p>
      <w:r>
        <w:rPr>
          <w:b/>
          <w:color w:val="2E75B6"/>
          <w:sz w:val="20"/>
        </w:rPr>
        <w:t xml:space="preserve">Summary: </w:t>
      </w:r>
      <w:r>
        <w:rPr>
          <w:b w:val="0"/>
          <w:color w:val="111827"/>
          <w:sz w:val="20"/>
        </w:rPr>
        <w:t>Strangler Fig Pattern recommended.</w:t>
      </w:r>
    </w:p>
    <w:p>
      <w:r>
        <w:rPr>
          <w:b w:val="0"/>
          <w:color w:val="111827"/>
          <w:sz w:val="20"/>
        </w:rPr>
        <w:t>The MagicBox Code Modernization project aims to ensure a seamless transition from legacy systems to modern architectures using the Strangler Fig Pattern. This approach allows for gradual replacement of old components with new ones, minimizing risks and ensuring continuity. The project is divided into three phases: establishing baselines, incremental migration, and final hardening. Each phase is designed to address specific challenges and ensure the integrity of the modernization process.</w:t>
      </w:r>
    </w:p>
    <w:p>
      <w:pPr>
        <w:pStyle w:val="ListParagraph"/>
      </w:pPr>
      <w:r>
        <w:rPr>
          <w:b w:val="0"/>
          <w:color w:val="111827"/>
          <w:sz w:val="18"/>
        </w:rPr>
        <w:t>- Objective: Verify code modernization with a two-pass translation.</w:t>
      </w:r>
    </w:p>
    <w:p>
      <w:pPr>
        <w:pStyle w:val="ListParagraph"/>
      </w:pPr>
      <w:r>
        <w:rPr>
          <w:b w:val="0"/>
          <w:color w:val="111827"/>
          <w:sz w:val="18"/>
        </w:rPr>
        <w:t>- Strategy: Strangler Fig Pattern for gradual system updates.</w:t>
      </w:r>
    </w:p>
    <w:p>
      <w:pPr>
        <w:pStyle w:val="ListParagraph"/>
      </w:pPr>
      <w:r>
        <w:rPr>
          <w:b w:val="0"/>
          <w:color w:val="111827"/>
          <w:sz w:val="18"/>
        </w:rPr>
        <w:t>- Phases: Baseline, Migration, Hardening.</w:t>
      </w:r>
    </w:p>
    <w:p>
      <w:pPr>
        <w:pStyle w:val="ListParagraph"/>
      </w:pPr>
      <w:r>
        <w:rPr>
          <w:b w:val="0"/>
          <w:color w:val="111827"/>
          <w:sz w:val="18"/>
        </w:rPr>
        <w:t>- Risk Tier: High, with zero readiness score.</w:t>
      </w:r>
    </w:p>
    <w:p>
      <w:pPr>
        <w:pStyle w:val="ListParagraph"/>
      </w:pPr>
      <w:r>
        <w:rPr>
          <w:b w:val="0"/>
          <w:color w:val="111827"/>
          <w:sz w:val="18"/>
        </w:rPr>
        <w:t>- No current inventory of projects, forms, or dependencies.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Alert: </w:t>
      </w:r>
      <w:r>
        <w:rPr>
          <w:b w:val="0"/>
          <w:color w:val="111827"/>
          <w:sz w:val="18"/>
        </w:rPr>
        <w:t>High risk tier due to zero readiness score.</w:t>
      </w:r>
    </w:p>
    <w:p>
      <w:pPr>
        <w:pStyle w:val="Heading2"/>
      </w:pPr>
      <w:r>
        <w:t>Recommended Modernization Strategy</w:t>
      </w:r>
    </w:p>
    <w:p>
      <w:r>
        <w:rPr>
          <w:b/>
          <w:color w:val="1F6B75"/>
          <w:sz w:val="20"/>
        </w:rPr>
        <w:t xml:space="preserve">Strangler Fig Pattern: </w:t>
      </w:r>
      <w:r>
        <w:rPr>
          <w:b w:val="0"/>
          <w:color w:val="111827"/>
          <w:sz w:val="20"/>
        </w:rPr>
        <w:t>Allows gradual replacement of legacy code with new system components.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(2/3)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Contractor Placement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dependencies to ensure smooth transitions and minimize risks.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dossiers of forms involved in the modernization process.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Contractor Placement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 submissions require co-approval before onboarding.</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to establish baselines.</w:t>
      </w:r>
    </w:p>
    <w:p>
      <w:r>
        <w:br w:type="page"/>
      </w:r>
    </w:p>
    <w:p>
      <w:pPr>
        <w:pStyle w:val="Heading1"/>
      </w:pPr>
      <w:r>
        <w:t>Section Q - Form Traceability Matrix</w:t>
      </w:r>
    </w:p>
    <w:p>
      <w:r>
        <w:rPr>
          <w:b w:val="0"/>
          <w:color w:val="6B7280"/>
          <w:sz w:val="18"/>
        </w:rPr>
        <w:t>Ensure traceability of changes throughout the modernization phases.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for incremental migration and dependency management.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risks associated with the modernization process.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loss of functionality during translation.</w:t>
            </w:r>
          </w:p>
        </w:tc>
        <w:tc>
          <w:tcPr>
            <w:tcW w:type="dxa" w:w="2520"/>
          </w:tcPr>
          <w:p>
            <w:r/>
            <w:r>
              <w:rPr>
                <w:b w:val="0"/>
                <w:color w:val="111827"/>
                <w:sz w:val="16"/>
              </w:rPr>
              <w:t>Implement thorough verification and testing processes.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Performance degradation in the translated system.</w:t>
            </w:r>
          </w:p>
        </w:tc>
        <w:tc>
          <w:tcPr>
            <w:tcW w:type="dxa" w:w="2520"/>
            <w:shd w:val="clear" w:color="auto" w:fill="F3F4F6"/>
          </w:tcPr>
          <w:p>
            <w:r/>
            <w:r>
              <w:rPr>
                <w:b w:val="0"/>
                <w:color w:val="111827"/>
                <w:sz w:val="16"/>
              </w:rPr>
              <w:t>Conduct performance testing and optimization.</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artifact://legacy_inventory/1.0/art_legacy_inventory_2f2b56ac8107485f</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artifact://repo_landscape/1.0/art_repo_landscape_17f98a8fd5d14d9d</w:t>
            </w:r>
          </w:p>
        </w:tc>
      </w:tr>
      <w:tr>
        <w:tc>
          <w:tcPr>
            <w:tcW w:type="dxa" w:w="5040"/>
          </w:tcPr>
          <w:p>
            <w:r/>
            <w:r>
              <w:rPr>
                <w:b w:val="0"/>
                <w:color w:val="111827"/>
                <w:sz w:val="16"/>
              </w:rPr>
              <w:t>scope_lock_ref</w:t>
            </w:r>
          </w:p>
        </w:tc>
        <w:tc>
          <w:tcPr>
            <w:tcW w:type="dxa" w:w="5040"/>
          </w:tcPr>
          <w:p>
            <w:r/>
            <w:r>
              <w:rPr>
                <w:b w:val="0"/>
                <w:color w:val="111827"/>
                <w:sz w:val="16"/>
              </w:rPr>
              <w:t>artifact://scope_lock/1.0/art_scope_lock_3ac07f51842d44d4</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artifact://variant_inventory/1.0/art_variant_inventory_5c68b9d37e6d4115</w:t>
            </w:r>
          </w:p>
        </w:tc>
      </w:tr>
      <w:tr>
        <w:tc>
          <w:tcPr>
            <w:tcW w:type="dxa" w:w="5040"/>
          </w:tcPr>
          <w:p>
            <w:r/>
            <w:r>
              <w:rPr>
                <w:b w:val="0"/>
                <w:color w:val="111827"/>
                <w:sz w:val="16"/>
              </w:rPr>
              <w:t>event_map_ref</w:t>
            </w:r>
          </w:p>
        </w:tc>
        <w:tc>
          <w:tcPr>
            <w:tcW w:type="dxa" w:w="5040"/>
          </w:tcPr>
          <w:p>
            <w:r/>
            <w:r>
              <w:rPr>
                <w:b w:val="0"/>
                <w:color w:val="111827"/>
                <w:sz w:val="16"/>
              </w:rPr>
              <w:t>artifact://event_map/1.0/art_event_map_2476573c5f0b460d</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artifact://sql_catalog/1.0/art_sql_catalog_4ba1209bd913481e</w:t>
            </w:r>
          </w:p>
        </w:tc>
      </w:tr>
      <w:tr>
        <w:tc>
          <w:tcPr>
            <w:tcW w:type="dxa" w:w="5040"/>
          </w:tcPr>
          <w:p>
            <w:r/>
            <w:r>
              <w:rPr>
                <w:b w:val="0"/>
                <w:color w:val="111827"/>
                <w:sz w:val="16"/>
              </w:rPr>
              <w:t>sql_map_ref</w:t>
            </w:r>
          </w:p>
        </w:tc>
        <w:tc>
          <w:tcPr>
            <w:tcW w:type="dxa" w:w="5040"/>
          </w:tcPr>
          <w:p>
            <w:r/>
            <w:r>
              <w:rPr>
                <w:b w:val="0"/>
                <w:color w:val="111827"/>
                <w:sz w:val="16"/>
              </w:rPr>
              <w:t>artifact://sql_map/1.0/art_sql_map_0f131ff31aad47a3</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artifact://data_access_map/1.0/art_data_access_map_eee7e44cc6654fa0</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artifact://recordset_ops/1.0/art_recordset_ops_94e24a2f35d04279</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artifact://procedure_summary/1.0/art_procedure_summary_03ccf4f6f09c4d5a</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artifact://form_dossier/1.0/art_form_dossier_a50994191fa14658</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artifact://dependency_inventory/1.0/art_dependency_inventory_807f4460a2794fd2</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artifact://dependency_inventory/1.0/art_dependency_inventory_807f4460a2794fd2</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artifact://business_rule_catalog/1.0/art_business_rule_catalog_e3b3361fda664db3</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artifact://detector_findings/1.0/art_detector_findings_b197e0cb289e4ff5</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artifact://risk_register/1.0/art_risk_register_45a5a00cbff0481b</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artifact://orphan_analysis/1.0/art_orphan_analysis_a6c21c7f65834216</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artifact://delivery_constitution/1.0/art_delivery_constitution_120cbe4da3ff4a02</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artifact://variant_diff_report/1.0/art_variant_diff_report_7f494d333cb54248</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artifact://reporting_model/1.0/art_reporting_model_9a6a318e47b14485</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artifact://identity_access_model/1.0/art_identity_access_model_9e988ec73dae495d</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artifact://discover_review_checklist/1.0/art_discover_review_checklist_dcaec470e4bc4f28</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artifact://artifact_index/1.0/art_artifact_index_ac4fdda0591b4e36</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runctx://runctx-b9c9af6a9d127b01/kctx-0f4b7e7e4cb3a338</w:t>
            </w:r>
          </w:p>
        </w:tc>
      </w:tr>
      <w:tr>
        <w:tc>
          <w:tcPr>
            <w:tcW w:type="dxa" w:w="5040"/>
          </w:tcPr>
          <w:p>
            <w:r/>
            <w:r>
              <w:rPr>
                <w:b w:val="0"/>
                <w:color w:val="111827"/>
                <w:sz w:val="16"/>
              </w:rPr>
              <w:t>run_delivery_constitution_ref</w:t>
            </w:r>
          </w:p>
        </w:tc>
        <w:tc>
          <w:tcPr>
            <w:tcW w:type="dxa" w:w="5040"/>
          </w:tcPr>
          <w:p>
            <w:r/>
            <w:r>
              <w:rPr>
                <w:b w:val="0"/>
                <w:color w:val="111827"/>
                <w:sz w:val="16"/>
              </w:rPr>
              <w:t>runctx://runctx-b9c9af6a9d127b01/delivery_constitution/const-3665f0cfbc4d</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