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Workbook</w:t>
            </w:r>
          </w:p>
        </w:tc>
      </w:tr>
    </w:tbl>
    <w:p>
      <w:r>
        <w:rPr>
          <w:b/>
          <w:color w:val="1F6B75"/>
          <w:sz w:val="26"/>
        </w:rPr>
        <w:t>Legacy Modernization Scope</w:t>
      </w:r>
    </w:p>
    <w:p>
      <w:r>
        <w:rPr>
          <w:b w:val="0"/>
          <w:color w:val="111827"/>
          <w:sz w:val="20"/>
        </w:rPr>
        <w:t>Guidance for Phased Modernization: Ensuring Seamless Transition and Quality Assurance</w:t>
      </w:r>
    </w:p>
    <w:p>
      <w:r>
        <w:rPr>
          <w:b w:val="0"/>
          <w:color w:val="6B7280"/>
          <w:sz w:val="18"/>
        </w:rPr>
        <w:t>Run 20260512_185522_e0e711bd  ·  Generated 2026-05-12T18:56:22.818793+00:00  ·  Repo app</w:t>
      </w:r>
    </w:p>
    <w:p/>
    <w:p>
      <w:pPr>
        <w:pStyle w:val="Heading1"/>
      </w:pPr>
      <w:r>
        <w:t>Executive Snapshot</w:t>
      </w:r>
    </w:p>
    <w:p>
      <w:r>
        <w:rPr>
          <w:b w:val="0"/>
          <w:color w:val="6B7280"/>
          <w:sz w:val="18"/>
        </w:rPr>
        <w:t>Overview of the modernization strategy and current readiness status.</w:t>
      </w:r>
    </w:p>
    <w:p>
      <w:r>
        <w:rPr>
          <w:b/>
          <w:color w:val="2E75B6"/>
          <w:sz w:val="20"/>
        </w:rPr>
        <w:t xml:space="preserve">Objective: </w:t>
      </w:r>
      <w:r>
        <w:rPr>
          <w:b w:val="0"/>
          <w:color w:val="111827"/>
          <w:sz w:val="20"/>
        </w:rPr>
        <w:t>Verify modernization team skips Database + Security; Tester runs right after Developer.</w:t>
      </w:r>
    </w:p>
    <w:p>
      <w:r>
        <w:rPr>
          <w:b/>
          <w:color w:val="2E75B6"/>
          <w:sz w:val="20"/>
        </w:rPr>
        <w:t xml:space="preserve">Summary: </w:t>
      </w:r>
      <w:r>
        <w:rPr>
          <w:b w:val="0"/>
          <w:color w:val="111827"/>
          <w:sz w:val="20"/>
        </w:rPr>
        <w:t>Phased modernization recommended.</w:t>
      </w:r>
    </w:p>
    <w:p>
      <w:r>
        <w:rPr>
          <w:b w:val="0"/>
          <w:color w:val="111827"/>
          <w:sz w:val="20"/>
        </w:rPr>
        <w:t>This workbook serves as a comprehensive guide for the Legacy Modernization Scope project, focusing on a phased approach to modernize applications while preserving existing behaviors. The strategy involves capturing baseline outputs, migrating forms and modules with risk controls, and finalizing quality gates. The objective is to ensure that the modernization team skips Database and Security, with Testers running immediately after Developers. The readiness score is currently at 60, indicating a medium risk tier. This document outlines the necessary steps and considerations for successful modernization.</w:t>
      </w:r>
    </w:p>
    <w:p>
      <w:pPr>
        <w:pStyle w:val="ListParagraph"/>
      </w:pPr>
      <w:r>
        <w:rPr>
          <w:b w:val="0"/>
          <w:color w:val="111827"/>
          <w:sz w:val="18"/>
        </w:rPr>
        <w:t>- Phased modernization strategy to ensure controlled transitions.</w:t>
      </w:r>
    </w:p>
    <w:p>
      <w:pPr>
        <w:pStyle w:val="ListParagraph"/>
      </w:pPr>
      <w:r>
        <w:rPr>
          <w:b w:val="0"/>
          <w:color w:val="111827"/>
          <w:sz w:val="18"/>
        </w:rPr>
        <w:t>- Objective: Skip Database and Security; Tester follows Developer.</w:t>
      </w:r>
    </w:p>
    <w:p>
      <w:pPr>
        <w:pStyle w:val="ListParagraph"/>
      </w:pPr>
      <w:r>
        <w:rPr>
          <w:b w:val="0"/>
          <w:color w:val="111827"/>
          <w:sz w:val="18"/>
        </w:rPr>
        <w:t>- Current readiness score is 60, indicating medium risk.</w:t>
      </w:r>
    </w:p>
    <w:p>
      <w:pPr>
        <w:pStyle w:val="ListParagraph"/>
      </w:pPr>
      <w:r>
        <w:rPr>
          <w:b w:val="0"/>
          <w:color w:val="111827"/>
          <w:sz w:val="18"/>
        </w:rPr>
        <w:t>- Focus on capturing golden flows and baseline outputs.</w:t>
      </w:r>
    </w:p>
    <w:p>
      <w:pPr>
        <w:pStyle w:val="ListParagraph"/>
      </w:pPr>
      <w:r>
        <w:rPr>
          <w:b w:val="0"/>
          <w:color w:val="111827"/>
          <w:sz w:val="18"/>
        </w:rPr>
        <w:t>- Migrate with dependency risk controls in place.</w:t>
      </w:r>
    </w:p>
    <w:p>
      <w:pPr>
        <w:pStyle w:val="ListParagraph"/>
      </w:pPr>
      <w:r>
        <w:rPr>
          <w:b w:val="0"/>
          <w:color w:val="111827"/>
          <w:sz w:val="18"/>
        </w:rPr>
        <w:t>- Finalize quality gates and publish evidence pack.</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60, indicating medium risk.</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DEC-BDD-001</w:t>
            </w:r>
          </w:p>
        </w:tc>
        <w:tc>
          <w:tcPr>
            <w:tcW w:type="dxa" w:w="3360"/>
            <w:shd w:val="clear" w:color="auto" w:fill="F3F4F6"/>
          </w:tcPr>
          <w:p>
            <w:r/>
            <w:r>
              <w:rPr>
                <w:b w:val="0"/>
                <w:color w:val="111827"/>
                <w:sz w:val="18"/>
              </w:rPr>
              <w:t>Ground BDD acceptance criteria in real legacy golden flows before Build planning.</w:t>
            </w:r>
          </w:p>
        </w:tc>
        <w:tc>
          <w:tcPr>
            <w:tcW w:type="dxa" w:w="3360"/>
            <w:shd w:val="clear" w:color="auto" w:fill="F3F4F6"/>
          </w:tcPr>
          <w:p>
            <w:r/>
            <w:r>
              <w:rPr>
                <w:b w:val="0"/>
                <w:color w:val="111827"/>
                <w:sz w:val="18"/>
              </w:rPr>
              <w:t>Regenerate BDD from validated golden flows, route evidence, and SQL touchpoints before Build starts.</w:t>
            </w:r>
          </w:p>
        </w:tc>
      </w:tr>
      <w:tr>
        <w:tc>
          <w:tcPr>
            <w:tcW w:type="dxa" w:w="3360"/>
          </w:tcPr>
          <w:p>
            <w:r/>
            <w:r>
              <w:rPr>
                <w:b w:val="0"/>
                <w:color w:val="111827"/>
                <w:sz w:val="18"/>
              </w:rPr>
              <w:t>DEC-OBS-001</w:t>
            </w:r>
          </w:p>
        </w:tc>
        <w:tc>
          <w:tcPr>
            <w:tcW w:type="dxa" w:w="3360"/>
          </w:tcPr>
          <w:p>
            <w:r/>
            <w:r>
              <w:rPr>
                <w:b w:val="0"/>
                <w:color w:val="111827"/>
                <w:sz w:val="18"/>
              </w:rPr>
              <w:t>Logging and observability stack for migrated runtime</w:t>
            </w:r>
          </w:p>
        </w:tc>
        <w:tc>
          <w:tcPr>
            <w:tcW w:type="dxa" w:w="3360"/>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Details on dependencies and risk controls for migration phases.</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Documentation of forms and modules involved in the modernization.</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Capture and analyze golden flows and baseline outputs.</w:t>
      </w:r>
    </w:p>
    <w:p>
      <w:r>
        <w:br w:type="page"/>
      </w:r>
    </w:p>
    <w:p>
      <w:pPr>
        <w:pStyle w:val="Heading1"/>
      </w:pPr>
      <w:r>
        <w:t>Section Q - Form Traceability Matrix</w:t>
      </w:r>
    </w:p>
    <w:p>
      <w:r>
        <w:rPr>
          <w:b w:val="0"/>
          <w:color w:val="6B7280"/>
          <w:sz w:val="18"/>
        </w:rPr>
        <w:t>Ensure traceability of changes and adherence to objectives.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sprints focusing on incremental migration and quality assurance.</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associated with the modernization process.</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artifact://legacy_inventory/1.0/art_legacy_inventory_6303f5a5b0bc4a0e</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artifact://repo_landscape/1.0/art_repo_landscape_3d14e60078954700</w:t>
            </w:r>
          </w:p>
        </w:tc>
      </w:tr>
      <w:tr>
        <w:tc>
          <w:tcPr>
            <w:tcW w:type="dxa" w:w="5040"/>
          </w:tcPr>
          <w:p>
            <w:r/>
            <w:r>
              <w:rPr>
                <w:b w:val="0"/>
                <w:color w:val="111827"/>
                <w:sz w:val="16"/>
              </w:rPr>
              <w:t>scope_lock_ref</w:t>
            </w:r>
          </w:p>
        </w:tc>
        <w:tc>
          <w:tcPr>
            <w:tcW w:type="dxa" w:w="5040"/>
          </w:tcPr>
          <w:p>
            <w:r/>
            <w:r>
              <w:rPr>
                <w:b w:val="0"/>
                <w:color w:val="111827"/>
                <w:sz w:val="16"/>
              </w:rPr>
              <w:t>artifact://scope_lock/1.0/art_scope_lock_f0c2f848b8804ca1</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artifact://variant_inventory/1.0/art_variant_inventory_743845da00ed4f5e</w:t>
            </w:r>
          </w:p>
        </w:tc>
      </w:tr>
      <w:tr>
        <w:tc>
          <w:tcPr>
            <w:tcW w:type="dxa" w:w="5040"/>
          </w:tcPr>
          <w:p>
            <w:r/>
            <w:r>
              <w:rPr>
                <w:b w:val="0"/>
                <w:color w:val="111827"/>
                <w:sz w:val="16"/>
              </w:rPr>
              <w:t>event_map_ref</w:t>
            </w:r>
          </w:p>
        </w:tc>
        <w:tc>
          <w:tcPr>
            <w:tcW w:type="dxa" w:w="5040"/>
          </w:tcPr>
          <w:p>
            <w:r/>
            <w:r>
              <w:rPr>
                <w:b w:val="0"/>
                <w:color w:val="111827"/>
                <w:sz w:val="16"/>
              </w:rPr>
              <w:t>artifact://event_map/1.0/art_event_map_51290fcb2c014914</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artifact://sql_catalog/1.0/art_sql_catalog_596f65a0a4454b7c</w:t>
            </w:r>
          </w:p>
        </w:tc>
      </w:tr>
      <w:tr>
        <w:tc>
          <w:tcPr>
            <w:tcW w:type="dxa" w:w="5040"/>
          </w:tcPr>
          <w:p>
            <w:r/>
            <w:r>
              <w:rPr>
                <w:b w:val="0"/>
                <w:color w:val="111827"/>
                <w:sz w:val="16"/>
              </w:rPr>
              <w:t>sql_map_ref</w:t>
            </w:r>
          </w:p>
        </w:tc>
        <w:tc>
          <w:tcPr>
            <w:tcW w:type="dxa" w:w="5040"/>
          </w:tcPr>
          <w:p>
            <w:r/>
            <w:r>
              <w:rPr>
                <w:b w:val="0"/>
                <w:color w:val="111827"/>
                <w:sz w:val="16"/>
              </w:rPr>
              <w:t>artifact://sql_map/1.0/art_sql_map_e42bdd7b4fdc4dd6</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artifact://data_access_map/1.0/art_data_access_map_2e905018d7ca4da2</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artifact://recordset_ops/1.0/art_recordset_ops_b690416dfd1347f1</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artifact://procedure_summary/1.0/art_procedure_summary_c12750edf4694180</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artifact://form_dossier/1.0/art_form_dossier_fb8a20f769ee47df</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artifact://dependency_inventory/1.0/art_dependency_inventory_74d6b82c09244f23</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artifact://dependency_inventory/1.0/art_dependency_inventory_74d6b82c09244f23</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artifact://business_rule_catalog/1.0/art_business_rule_catalog_20b9f34843f84106</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artifact://detector_findings/1.0/art_detector_findings_104bd98f3f074b9d</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artifact://risk_register/1.0/art_risk_register_e0152bb226854cce</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artifact://orphan_analysis/1.0/art_orphan_analysis_d2946364769f45ba</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artifact://delivery_constitution/1.0/art_delivery_constitution_41514c0d77dd43c6</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artifact://variant_diff_report/1.0/art_variant_diff_report_80596843ceb4457f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artifact://reporting_model/1.0/art_reporting_model_e4aba82700824844</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artifact://identity_access_model/1.0/art_identity_access_model_6e07e8ec81dd4fd9</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artifact://discover_review_checklist/1.0/art_discover_review_checklist_3b085991ed2541f7</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artifact://artifact_index/1.0/art_artifact_index_381b2733b7024a89</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runctx://runctx-fe3fcd70aac64eb3/kctx-fc9aece4ebe37eb4</w:t>
            </w:r>
          </w:p>
        </w:tc>
      </w:tr>
      <w:tr>
        <w:tc>
          <w:tcPr>
            <w:tcW w:type="dxa" w:w="5040"/>
          </w:tcPr>
          <w:p>
            <w:r/>
            <w:r>
              <w:rPr>
                <w:b w:val="0"/>
                <w:color w:val="111827"/>
                <w:sz w:val="16"/>
              </w:rPr>
              <w:t>run_delivery_constitution_ref</w:t>
            </w:r>
          </w:p>
        </w:tc>
        <w:tc>
          <w:tcPr>
            <w:tcW w:type="dxa" w:w="5040"/>
          </w:tcPr>
          <w:p>
            <w:r/>
            <w:r>
              <w:rPr>
                <w:b w:val="0"/>
                <w:color w:val="111827"/>
                <w:sz w:val="16"/>
              </w:rPr>
              <w:t>runctx://runctx-fe3fcd70aac64eb3/delivery_constitution/const-3149a4f88d54</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