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Modernization Workbook</w:t>
            </w:r>
          </w:p>
        </w:tc>
      </w:tr>
    </w:tbl>
    <w:p>
      <w:r>
        <w:rPr>
          <w:b/>
          <w:color w:val="1F6B75"/>
          <w:sz w:val="26"/>
        </w:rPr>
        <w:t>MagicBox Modernization</w:t>
      </w:r>
    </w:p>
    <w:p>
      <w:r>
        <w:rPr>
          <w:b w:val="0"/>
          <w:color w:val="111827"/>
          <w:sz w:val="20"/>
        </w:rPr>
        <w:t>Unifying Architecture and Naming Conventions for Enhanced Consistency</w:t>
      </w:r>
    </w:p>
    <w:p>
      <w:r>
        <w:rPr>
          <w:b w:val="0"/>
          <w:color w:val="6B7280"/>
          <w:sz w:val="18"/>
        </w:rPr>
        <w:t>Run 20260512_182223_52b05e96  ·  Generated 2026-05-12T18:23:02.483526+00:00  ·  Repo app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modernization objectives and strategic approach using the Strangler Fig Pattern.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Ensure that the architecture version ARCH-V21 and the naming conventions for contract owners and container IDs are unified and consistent.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Strangler Fig Pattern recommended.</w:t>
      </w:r>
    </w:p>
    <w:p>
      <w:r>
        <w:rPr>
          <w:b w:val="0"/>
          <w:color w:val="111827"/>
          <w:sz w:val="20"/>
        </w:rPr>
        <w:t>The MagicBox Modernization project aims to unify the architecture version ARCH-V21 and standardize naming conventions for contract owners and container IDs. Utilizing the Strangler Fig Pattern, this initiative will ensure a seamless transition from legacy systems to modernized components. The strategy involves capturing baseline outputs, migrating with risk controls, and finalizing quality gates. Despite a high-risk tier and a readiness score of zero, the project is structured to mitigate risks through phased implementation.</w:t>
      </w:r>
    </w:p>
    <w:p>
      <w:pPr>
        <w:pStyle w:val="ListParagraph"/>
      </w:pPr>
      <w:r>
        <w:rPr>
          <w:b w:val="0"/>
          <w:color w:val="111827"/>
          <w:sz w:val="18"/>
        </w:rPr>
        <w:t>- Objective: Unify architecture version ARCH-V21.</w:t>
      </w:r>
    </w:p>
    <w:p>
      <w:pPr>
        <w:pStyle w:val="ListParagraph"/>
      </w:pPr>
      <w:r>
        <w:rPr>
          <w:b w:val="0"/>
          <w:color w:val="111827"/>
          <w:sz w:val="18"/>
        </w:rPr>
        <w:t>- Standardize naming for contract owners and container IDs.</w:t>
      </w:r>
    </w:p>
    <w:p>
      <w:pPr>
        <w:pStyle w:val="ListParagraph"/>
      </w:pPr>
      <w:r>
        <w:rPr>
          <w:b w:val="0"/>
          <w:color w:val="111827"/>
          <w:sz w:val="18"/>
        </w:rPr>
        <w:t>- Utilize Strangler Fig Pattern for gradual transition.</w:t>
      </w:r>
    </w:p>
    <w:p>
      <w:pPr>
        <w:pStyle w:val="ListParagraph"/>
      </w:pPr>
      <w:r>
        <w:rPr>
          <w:b w:val="0"/>
          <w:color w:val="111827"/>
          <w:sz w:val="18"/>
        </w:rPr>
        <w:t>- Phased approach to mitigate high-risk tier.</w:t>
      </w:r>
    </w:p>
    <w:p>
      <w:pPr>
        <w:pStyle w:val="ListParagraph"/>
      </w:pPr>
      <w:r>
        <w:rPr>
          <w:b w:val="0"/>
          <w:color w:val="111827"/>
          <w:sz w:val="18"/>
        </w:rPr>
        <w:t>- Zero readiness score; structured risk management.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n/a/100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high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pPr>
        <w:ind w:left="115"/>
      </w:pPr>
      <w:r>
        <w:rPr>
          <w:b/>
          <w:color w:val="2E75B6"/>
          <w:sz w:val="18"/>
        </w:rPr>
        <w:t xml:space="preserve">Risk: </w:t>
      </w:r>
      <w:r>
        <w:rPr>
          <w:b w:val="0"/>
          <w:color w:val="111827"/>
          <w:sz w:val="18"/>
        </w:rPr>
        <w:t>High-risk tier identified; phased strategy in place.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Strangler Fig Pattern: </w:t>
      </w:r>
      <w:r>
        <w:rPr>
          <w:b w:val="0"/>
          <w:color w:val="111827"/>
          <w:sz w:val="20"/>
        </w:rPr>
        <w:t>Allows gradual replacement of legacy components while maintaining functionality.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Backlog grounded in discovered behavior (3 derived item(s), threshold 3).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Contractor Placement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Mapping of current dependencies to identify risk areas and plan for phased replacement.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Detailed documentation of forms and modules targeted for migration.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Contractor Placement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Presentation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workflow_orchestration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Contractor placements must be approved by an office co-approver before onboarding.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Capture and analyze golden flows to ensure baseline equivalence.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Ensure traceability of changes to maintain consistency and compliance.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Outline of sprint cycles aligned with phased migration strategy.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Assessment of potential risks and mitigation strategies within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Inconsistent naming conventions may lead to integration issues.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automated name verification tools.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Non-compliance with ARCH-V21 could result in system failures.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Regular compliance audits and updates.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artifact://legacy_inventory/1.0/art_legacy_inventory_a46c238dfc88433f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artifact://repo_landscape/1.0/art_repo_landscape_b349a2bac75d4627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artifact://scope_lock/1.0/art_scope_lock_152a0aac24394df7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artifact://variant_inventory/1.0/art_variant_inventory_4b805a355d3e45a5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artifact://event_map/1.0/art_event_map_a12418fe1f34485a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artifact://sql_catalog/1.0/art_sql_catalog_41e7b3e48d8145ce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artifact://sql_map/1.0/art_sql_map_bba9dad347ef4006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artifact://data_access_map/1.0/art_data_access_map_1938d0f848d74565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artifact://recordset_ops/1.0/art_recordset_ops_a7ec3c64a3324972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artifact://procedure_summary/1.0/art_procedure_summary_d2b81707c0f6466d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artifact://form_dossier/1.0/art_form_dossier_1259f67e13644b47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artifact://dependency_inventory/1.0/art_dependency_inventory_82c4900ef7884ca2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artifact://dependency_inventory/1.0/art_dependency_inventory_82c4900ef7884ca2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artifact://business_rule_catalog/1.0/art_business_rule_catalog_9a00b5e912174a26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artifact://detector_findings/1.0/art_detector_findings_2f2e9683dc7b4365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artifact://risk_register/1.0/art_risk_register_fcbf79c26ccb4552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artifact://orphan_analysis/1.0/art_orphan_analysis_eae089aef7954f17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artifact://delivery_constitution/1.0/art_delivery_constitution_bd784bb23102484b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artifact://variant_diff_report/1.0/art_variant_diff_report_a905d3f73f6b4b17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artifact://reporting_model/1.0/art_reporting_model_958500e4b7ce4cf9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artifact://identity_access_model/1.0/art_identity_access_model_1163d82e2ef8437e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artifact://discover_review_checklist/1.0/art_discover_review_checklist_ad5cd8590b7f447c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artifact://artifact_index/1.0/art_artifact_index_3a7bb18060d3499e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runctx://runctx-ca6a549481857c9a/kctx-6c852fcceab50a55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runctx://runctx-ca6a549481857c9a/delivery_constitution/const-c211e69ac7f1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