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20"/>
      </w:pPr>
      <w:r>
        <w:rPr>
          <w:b/>
          <w:bCs/>
          <w:color w:val="1F3864"/>
          <w:sz w:val="32"/>
          <w:szCs w:val="32"/>
        </w:rPr>
        <w:t xml:space="preserve">Chirp Backend Modernization — Kotlin Modernization BRD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1. Executive Summary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Source platform</w:t>
      </w:r>
      <w:r>
        <w:rPr>
          <w:sz w:val="22"/>
          <w:szCs w:val="22"/>
        </w:rPr>
        <w:t xml:space="preserve">: Kotlin Modernization Skill Pack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Primary language</w:t>
      </w:r>
      <w:r>
        <w:rPr>
          <w:sz w:val="22"/>
          <w:szCs w:val="22"/>
        </w:rPr>
        <w:t xml:space="preserve">: —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Build tool</w:t>
      </w:r>
      <w:r>
        <w:rPr>
          <w:sz w:val="22"/>
          <w:szCs w:val="22"/>
        </w:rPr>
        <w:t xml:space="preserve">: —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Project name</w:t>
      </w:r>
      <w:r>
        <w:rPr>
          <w:sz w:val="22"/>
          <w:szCs w:val="22"/>
        </w:rPr>
        <w:t xml:space="preserve">: —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Lines of code</w:t>
      </w:r>
      <w:r>
        <w:rPr>
          <w:sz w:val="22"/>
          <w:szCs w:val="22"/>
        </w:rPr>
        <w:t xml:space="preserve">: —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Files scanned</w:t>
      </w:r>
      <w:r>
        <w:rPr>
          <w:sz w:val="22"/>
          <w:szCs w:val="22"/>
        </w:rPr>
        <w:t xml:space="preserve">: —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Components</w:t>
      </w:r>
      <w:r>
        <w:rPr>
          <w:sz w:val="22"/>
          <w:szCs w:val="22"/>
        </w:rPr>
        <w:t xml:space="preserve">: 8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Gradle dependencies</w:t>
      </w:r>
      <w:r>
        <w:rPr>
          <w:sz w:val="22"/>
          <w:szCs w:val="22"/>
        </w:rPr>
        <w:t xml:space="preserve">: —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Routes</w:t>
      </w:r>
      <w:r>
        <w:rPr>
          <w:sz w:val="22"/>
          <w:szCs w:val="22"/>
        </w:rPr>
        <w:t xml:space="preserve">: —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Symbols indexed</w:t>
      </w:r>
      <w:r>
        <w:rPr>
          <w:sz w:val="22"/>
          <w:szCs w:val="22"/>
        </w:rPr>
        <w:t xml:space="preserve">: 144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Classes</w:t>
      </w:r>
      <w:r>
        <w:rPr>
          <w:sz w:val="22"/>
          <w:szCs w:val="22"/>
        </w:rPr>
        <w:t xml:space="preserve">: 26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Interfaces</w:t>
      </w:r>
      <w:r>
        <w:rPr>
          <w:sz w:val="22"/>
          <w:szCs w:val="22"/>
        </w:rPr>
        <w:t xml:space="preserve">: 10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Functions</w:t>
      </w:r>
      <w:r>
        <w:rPr>
          <w:sz w:val="22"/>
          <w:szCs w:val="22"/>
        </w:rPr>
        <w:t xml:space="preserve">: —  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Objects</w:t>
      </w:r>
      <w:r>
        <w:rPr>
          <w:sz w:val="22"/>
          <w:szCs w:val="22"/>
        </w:rPr>
        <w:t xml:space="preserve">: 5  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2. Module Topology</w:t>
      </w:r>
    </w:p>
    <w:p>
      <w:pPr>
        <w:spacing w:after="80" w:before="80"/>
      </w:pPr>
      <w:r>
        <w:rPr>
          <w:sz w:val="22"/>
          <w:szCs w:val="22"/>
        </w:rPr>
        <w:t xml:space="preserve">Kotlin applications are composed of Gradle modules — each module is a unit of build, testing, and deployment. The table below shows every module detected in the source tree, classified by architectural role.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Name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Type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LOC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Stack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kotlin::user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1734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kotlin, jvm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kotlin::chat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1930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kotlin, jvm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kotlin::notification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826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kotlin, jvm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kotlin::common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common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18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440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kotlin, jvm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other::support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Support Artifacts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support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220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generic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kotlin::app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272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kotlin, jvm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kotlin::build-logic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build-logic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95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kotlin, jvm</w:t>
            </w:r>
          </w:p>
        </w:tc>
      </w:tr>
      <w:tr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kotlin::root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root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kotlin_module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  <w:tc>
          <w:tcPr>
            <w:tcW w:type="dxa" w:w="17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kotlin, jvm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4. Domain Entities (Classes)</w:t>
      </w:r>
    </w:p>
    <w:p>
      <w:pPr>
        <w:spacing w:after="80" w:before="80"/>
      </w:pPr>
      <w:r>
        <w:rPr>
          <w:sz w:val="22"/>
          <w:szCs w:val="22"/>
        </w:rPr>
        <w:t xml:space="preserve">Classes extracted from the Kotlin source. These are the data structures and business objects that define the domain model — entities like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Account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Customer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Transaction</w:t>
      </w:r>
      <w:r>
        <w:rPr>
          <w:sz w:val="22"/>
          <w:szCs w:val="22"/>
        </w:rPr>
        <w:t xml:space="preserve"> drive the persistence and API contracts of the modernized system.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Class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Line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ChirpApplication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app/src/main/kotlin/com/plcoding/chirp/ChirpApplication.kt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ChatNotFoundException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chat/src/main/kotlin/com/plcoding/chirp/domain/exception/Cha…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ChatParticipantNotFoundException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chat/src/main/kotlin/com/plcoding/chirp/domain/exception/Cha…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InvalidChatSizeException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chat/src/main/kotlin/com/plcoding/chirp/domain/exception/Inv…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InvalidProfilePictureException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chat/src/main/kotlin/com/plcoding/chirp/domain/exception/Inv…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MessageNotFoundException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chat/src/main/kotlin/com/plcoding/chirp/domain/exception/Mes…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StorageException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chat/src/main/kotlin/com/plcoding/chirp/domain/exception/Sto…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ChatMessageEntity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chat/src/main/kotlin/com/plcoding/chirp/infra/database/entit…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31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ChatParticipantEntity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chat/src/main/kotlin/com/plcoding/chirp/infra/database/entit…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21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ForbiddenException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common/src/main/kotlin/com/plcoding/chirp/domain/exception/F…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InvalidTokenException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common/src/main/kotlin/com/plcoding/chirp/domain/exception/I…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UnauthorizedException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common/src/main/kotlin/com/plcoding/chirp/domain/exception/U…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InvalidDeviceTokenException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notification/src/main/kotlin/com/plcoding/chirp/domain/excep…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DeviceTokenEntity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notification/src/main/kotlin/com/plcoding/chirp/infra/databa…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IpRateLimit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user/src/main/kotlin/com/plcoding/chirp/api/config/IpRateLim…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user/src/main/kotlin/com/plcoding/chirp/api/util/Password.kt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15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EmailNotVerifiedException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user/src/main/kotlin/com/plcoding/chirp/domain/exception/Ema…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InvalidCredentialsException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user/src/main/kotlin/com/plcoding/chirp/domain/exception/Inv…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RateLimitException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user/src/main/kotlin/com/plcoding/chirp/domain/exception/Rat…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SamePasswordException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user/src/main/kotlin/com/plcoding/chirp/domain/exception/Sam…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UserAlreadyExistsException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user/src/main/kotlin/com/plcoding/chirp/domain/exception/Use…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4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UserNotFoundException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user/src/main/kotlin/com/plcoding/chirp/domain/exception/Use…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EmailVerificationTokenEntity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user/src/main/kotlin/com/plcoding/chirp/infra/database/entit…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26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PasswordResetTokenEntity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user/src/main/kotlin/com/plcoding/chirp/infra/database/entit…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25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RefreshTokenEntity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user/src/main/kotlin/com/plcoding/chirp/infra/database/entit…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23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UserEntity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user/src/main/kotlin/com/plcoding/chirp/infra/database/entit…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24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Interfaces (API contracts)</w:t>
      </w:r>
    </w:p>
    <w:p>
      <w:pPr>
        <w:spacing w:after="80" w:before="80"/>
      </w:pPr>
      <w:r>
        <w:rPr>
          <w:sz w:val="22"/>
          <w:szCs w:val="22"/>
        </w:rPr>
        <w:t xml:space="preserve">Kotlin interfaces often define contracts at module boundaries — Retrofit API surfaces, repository contracts, DI module interfaces. Each interface is a seam where the target-platform equivalent must be selected during modernization.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Interface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ApiKeyRepository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user/src/main/kotlin/com/plcoding/chirp/infra/database/repos…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ChatMessageRepository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chat/src/main/kotlin/com/plcoding/chirp/infra/database/repos…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ChatParticipantRepository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chat/src/main/kotlin/com/plcoding/chirp/infra/database/repos…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chat/src/main/kotlin/com/plcoding/chirp/infra/database/repos…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ChirpEvent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common/src/main/kotlin/com/plcoding/chirp/domain/events/Chir…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DeviceTokenRepository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notification/src/main/kotlin/com/plcoding/chirp/infra/databa…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EmailVerificationTokenRepository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user/src/main/kotlin/com/plcoding/chirp/infra/database/repos…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PasswordResetTokenRepository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user/src/main/kotlin/com/plcoding/chirp/infra/database/repos…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RefreshTokenRepository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user/src/main/kotlin/com/plcoding/chirp/infra/database/repos…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UserRepository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user/src/main/kotlin/com/plcoding/chirp/infra/database/repos…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6. Objects &amp; Singletons</w:t>
      </w:r>
    </w:p>
    <w:p>
      <w:pPr>
        <w:spacing w:after="80" w:before="80"/>
      </w:pPr>
      <w:r>
        <w:rPr>
          <w:sz w:val="22"/>
          <w:szCs w:val="22"/>
        </w:rPr>
        <w:t xml:space="preserve">Kotlin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object</w:t>
      </w:r>
      <w:r>
        <w:rPr>
          <w:sz w:val="22"/>
          <w:szCs w:val="22"/>
        </w:rPr>
        <w:t xml:space="preserve"> declarations (singletons, companion objects, DI components). These often hold global state or DI wiring — they need explicit handling during migration to ensure the target platform's DI model is respected.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Package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Kind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File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ChatEventConstants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common/src/main/kotlin/com/plcoding/chirp/domain/events/chat…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UserEventConstants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common/src/main/kotlin/com/plcoding/chirp/domain/events/user…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MessageQueues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common/src/main/kotlin/com/plcoding/chirp/infra/message_queu…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Companion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user/src/main/kotlin/com/plcoding/chirp/api/config/ApiKeyAut…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TokenGenerator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object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user/src/main/kotlin/com/plcoding/chirp/infra/security/Token…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Retrofit / HTTP Endpoints</w:t>
      </w:r>
    </w:p>
    <w:p>
      <w:pPr>
        <w:spacing w:after="80" w:before="80"/>
      </w:pPr>
      <w:r>
        <w:rPr>
          <w:sz w:val="22"/>
          <w:szCs w:val="22"/>
        </w:rPr>
        <w:t xml:space="preserve">Endpoints declared via Retrofit annotations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@GET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@POST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@PUT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@DELETE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@PATCH</w:t>
      </w:r>
      <w:r>
        <w:rPr>
          <w:sz w:val="22"/>
          <w:szCs w:val="22"/>
        </w:rPr>
        <w:t xml:space="preserve">). Each row is an HTTP contract the app consumes — preserving these during migration is critical for wire-level parity with upstream services.</w:t>
      </w:r>
    </w:p>
    <w:p>
      <w:pPr>
        <w:spacing w:after="80" w:before="80"/>
      </w:pPr>
      <w:r>
        <w:rPr>
          <w:sz w:val="22"/>
          <w:szCs w:val="22"/>
        </w:rPr>
        <w:t xml:space="preserve">*No Retrofit endpoints detected. This codebase may not consume HTTP APIs, or annotations may not be captured by the extractor.*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Dependency Injection Modules</w:t>
      </w:r>
    </w:p>
    <w:p>
      <w:pPr>
        <w:spacing w:after="80" w:before="80"/>
      </w:pPr>
      <w:r>
        <w:rPr>
          <w:sz w:val="22"/>
          <w:szCs w:val="22"/>
        </w:rPr>
        <w:t xml:space="preserve">Hilt / Dagger DI modules (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@Module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@InstallIn</w:t>
      </w:r>
      <w:r>
        <w:rPr>
          <w:sz w:val="22"/>
          <w:szCs w:val="22"/>
        </w:rPr>
        <w:t xml:space="preserve">). Each module declares bindings that need an equivalent in the target-platform DI framework per DEC-KOTLIN-DI-001.</w:t>
      </w:r>
    </w:p>
    <w:p>
      <w:pPr>
        <w:spacing w:after="80" w:before="80"/>
      </w:pPr>
      <w:r>
        <w:rPr>
          <w:sz w:val="22"/>
          <w:szCs w:val="22"/>
        </w:rPr>
        <w:t xml:space="preserve">*No DI modules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Room Entities &amp; DAOs</w:t>
      </w:r>
    </w:p>
    <w:p>
      <w:pPr>
        <w:spacing w:after="80" w:before="80"/>
      </w:pPr>
      <w:r>
        <w:rPr>
          <w:sz w:val="22"/>
          <w:szCs w:val="22"/>
        </w:rPr>
        <w:t xml:space="preserve">Room persistence: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@Entity</w:t>
      </w:r>
      <w:r>
        <w:rPr>
          <w:sz w:val="22"/>
          <w:szCs w:val="22"/>
        </w:rPr>
        <w:t xml:space="preserve"> data classes and </w:t>
      </w:r>
      <w:r>
        <w:rPr>
          <w:rFonts w:ascii="Consolas" w:cs="Consolas" w:eastAsia="Consolas" w:hAnsi="Consolas"/>
          <w:color w:val="0F172A"/>
          <w:sz w:val="20"/>
          <w:szCs w:val="20"/>
        </w:rPr>
        <w:t xml:space="preserve">@Dao</w:t>
      </w:r>
      <w:r>
        <w:rPr>
          <w:sz w:val="22"/>
          <w:szCs w:val="22"/>
        </w:rPr>
        <w:t xml:space="preserve"> interfaces. Migration decisions around DEC-KOTLIN-DB-001 (persistence strategy) directly affect every row here.</w:t>
      </w:r>
    </w:p>
    <w:p>
      <w:pPr>
        <w:spacing w:after="80" w:before="80"/>
      </w:pPr>
      <w:r>
        <w:rPr>
          <w:sz w:val="22"/>
          <w:szCs w:val="22"/>
        </w:rPr>
        <w:t xml:space="preserve">*No Room entities or DAOs detected.*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5. Business Flow &amp; Calculations</w:t>
      </w:r>
    </w:p>
    <w:p>
      <w:pPr>
        <w:spacing w:after="80" w:before="80"/>
      </w:pPr>
      <w:r>
        <w:rPr>
          <w:sz w:val="22"/>
          <w:szCs w:val="22"/>
        </w:rPr>
        <w:t xml:space="preserve">Business logic extracted from Kotlin source — organized by module capability. Each flow documents its trigger, key steps, and data touchpoints.</w:t>
      </w:r>
    </w:p>
    <w:p>
      <w:pPr>
        <w:spacing w:after="80" w:before="80"/>
      </w:pPr>
      <w:r>
        <w:rPr>
          <w:sz w:val="22"/>
          <w:szCs w:val="22"/>
        </w:rPr>
        <w:t xml:space="preserve">*No data available.*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7. 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FR-001 — Translate Kotlin Methods to Go (P0)</w:t>
      </w:r>
    </w:p>
    <w:p>
      <w:pPr>
        <w:spacing w:after="80" w:before="80"/>
      </w:pPr>
      <w:r>
        <w:rPr>
          <w:sz w:val="22"/>
          <w:szCs w:val="22"/>
        </w:rPr>
        <w:t xml:space="preserve">Use the MethodTranslatorSubAgent to convert all Kotlin methods to Go equivalents.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Kotlin methods are successfully translated to Go.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Translated methods pass all existing unit tests.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functional discrepancies between Kotlin and Go implementations.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FR-002 — Verify Legacy Source File Population (P0)</w:t>
      </w:r>
    </w:p>
    <w:p>
      <w:pPr>
        <w:spacing w:after="80" w:before="80"/>
      </w:pPr>
      <w:r>
        <w:rPr>
          <w:sz w:val="22"/>
          <w:szCs w:val="22"/>
        </w:rPr>
        <w:t xml:space="preserve">Ensure all legacy source files are populated during the repo scan.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Repo scan identifies all legacy source files.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identified files are correctly populated.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logs confirm no missing files.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FR-003 — Persist Architecture Output (P1)</w:t>
      </w:r>
    </w:p>
    <w:p>
      <w:pPr>
        <w:spacing w:after="80" w:before="80"/>
      </w:pPr>
      <w:r>
        <w:rPr>
          <w:sz w:val="22"/>
          <w:szCs w:val="22"/>
        </w:rPr>
        <w:t xml:space="preserve">Flatten and persist the architecture output as per the ARCH-V30 specification.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Architecture output is flattened according to specifications.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Output is persisted in the designated storage.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Verification checks confirm data integrity post-persistence.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FR-004 — Backward Compatibility (P0)</w:t>
      </w:r>
    </w:p>
    <w:p>
      <w:pPr>
        <w:spacing w:after="80" w:before="80"/>
      </w:pPr>
      <w:r>
        <w:rPr>
          <w:sz w:val="22"/>
          <w:szCs w:val="22"/>
        </w:rPr>
        <w:t xml:space="preserve">Ensure the new Go implementation maintains backward compatibility with existing systems.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existing APIs function as expected with the new backend.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No changes are required in client applications.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Legacy data formats are supported in the new system.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FR-005 — Implement Error Handling (P1)</w:t>
      </w:r>
    </w:p>
    <w:p>
      <w:pPr>
        <w:spacing w:after="80" w:before="80"/>
      </w:pPr>
      <w:r>
        <w:rPr>
          <w:sz w:val="22"/>
          <w:szCs w:val="22"/>
        </w:rPr>
        <w:t xml:space="preserve">Define and implement error handling mechanisms in the Go backend.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critical errors are logged with detailed information.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Error handling follows defined patterns and practices.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System recovers gracefully from expected error scenarios.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FR-006 — Logging and Monitoring (P1)</w:t>
      </w:r>
    </w:p>
    <w:p>
      <w:pPr>
        <w:spacing w:after="80" w:before="80"/>
      </w:pPr>
      <w:r>
        <w:rPr>
          <w:sz w:val="22"/>
          <w:szCs w:val="22"/>
        </w:rPr>
        <w:t xml:space="preserve">Implement logging and monitoring for the Go backend to ensure observability.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critical operations are logged.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Monitoring dashboards reflect real-time system status.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Alerts are configured for predefined thresholds.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FR-007 — Data Migration Validation (P0)</w:t>
      </w:r>
    </w:p>
    <w:p>
      <w:pPr>
        <w:spacing w:after="80" w:before="80"/>
      </w:pPr>
      <w:r>
        <w:rPr>
          <w:sz w:val="22"/>
          <w:szCs w:val="22"/>
        </w:rPr>
        <w:t xml:space="preserve">Validate data migration from the Kotlin system to the Go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Data integrity is maintained post-migration.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data is accessible in the new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Migration logs confirm successful data transfer.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FR-008 — API Endpoint Consistency (P0)</w:t>
      </w:r>
    </w:p>
    <w:p>
      <w:pPr>
        <w:spacing w:after="80" w:before="80"/>
      </w:pPr>
      <w:r>
        <w:rPr>
          <w:sz w:val="22"/>
          <w:szCs w:val="22"/>
        </w:rPr>
        <w:t xml:space="preserve">Ensure API endpoints in the Go system are consistent with the legacy system.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All API endpoints are available in the Go system.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Endpoint responses match legacy system outputs.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API performance meets or exceeds legacy benchmarks.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8. Non-Functional Requirements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NFR-AUTO-PERF-MIG — Migration Performance Preservation (performance)</w:t>
      </w:r>
    </w:p>
    <w:p>
      <w:pPr>
        <w:spacing w:after="80" w:before="80"/>
      </w:pPr>
      <w:r>
        <w:rPr>
          <w:sz w:val="22"/>
          <w:szCs w:val="22"/>
        </w:rPr>
        <w:t xml:space="preserve">Critical user flows across app, build-logic, chat, common must complete within 20% of pre-migration latency on the same Android device / API level combination throughout the phased Compose + StateFlow + Hilt migration. Regressions halt phase promotion until resolved.</w:t>
      </w:r>
    </w:p>
    <w:p>
      <w:pPr>
        <w:spacing w:after="80" w:before="80"/>
      </w:pPr>
      <w:r>
        <w:rPr>
          <w:b/>
          <w:bCs/>
          <w:sz w:val="22"/>
          <w:szCs w:val="22"/>
        </w:rPr>
        <w:t xml:space="preserve">Acceptance Criteria: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Pre-migration p95 latency baseline captured on reference device matrix before cutover begins.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Post-migration p95 measured per release candidate; threshold breach blocks phase promotion.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sz w:val="22"/>
          <w:szCs w:val="22"/>
        </w:rPr>
        <w:t xml:space="preserve">Device-matrix evidence attached to the release checklist.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9. Blocking Decisions</w:t>
      </w:r>
    </w:p>
    <w:p>
      <w:pPr>
        <w:spacing w:after="80" w:before="80"/>
      </w:pPr>
      <w:r>
        <w:rPr>
          <w:sz w:val="22"/>
          <w:szCs w:val="22"/>
        </w:rPr>
        <w:t xml:space="preserve">Architectural decisions that must be resolved before migration can begin. Each choice has downstream impact on module extraction, API contracts, and delivery sequencing.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ID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Question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Options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 if deferred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DEC-KOTLIN-TARGET-001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Target platform for the modernized Kotlin codebase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Kotlin 2.x on JVM · Go domain service + retained Android client · Full client/backend decomposition · Language port (Kotlin → Java / TypeScript)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Every downstream decision (DI model, persistence, HTTP surface) depends on this choice.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DEC-KOTLIN-DI-001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Dependency injection framework on the modernized stack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Retain Hilt/Dagger · Migrate to Koin · Replace with target-platform DI (Spring, Wire, etc.) · Manual constructor injection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Module wiring at scale is impractical without a DI strategy — legacy modules cannot be extracted cleanly.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DEC-KOTLIN-DB-001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Persistence strategy for Kotlin modernization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Keep Room/SQLDelight (Android) · Keep Exposed/JPA (server) · Migrate to target-stack ORM · Hybrid — legacy keeps its DB, new modules use target stack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Database contracts drive every data-touching module — getting this wrong forces large rewrites.</w:t>
            </w:r>
          </w:p>
        </w:tc>
      </w:tr>
      <w:tr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DEC-KOTLIN-ASYNC-001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Concurrency / async model on the target platform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Retain Kotlin coroutines · Port to target-platform async (CompletableFuture, async/await) · Replace with reactive streams · Redesign to synchronous + worker pool</w:t>
            </w:r>
          </w:p>
        </w:tc>
        <w:tc>
          <w:tcPr>
            <w:tcW w:type="dxa" w:w="261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Suspend functions and Flow pipelines have no automatic equivalent — every async boundary needs explicit decisions.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10. Migration Strategy</w:t>
      </w:r>
    </w:p>
    <w:p>
      <w:pPr>
        <w:spacing w:after="80" w:before="80"/>
      </w:pPr>
      <w:r>
        <w:rPr>
          <w:sz w:val="22"/>
          <w:szCs w:val="22"/>
        </w:rPr>
        <w:t xml:space="preserve">Phased approach for modernizing the Kotlin application. Each phase has clear entry and exit criteria.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0 — Dependency &amp; Schema Freeze</w:t>
      </w:r>
    </w:p>
    <w:p>
      <w:pPr>
        <w:spacing w:after="80" w:before="80"/>
      </w:pPr>
      <w:r>
        <w:rPr>
          <w:sz w:val="22"/>
          <w:szCs w:val="22"/>
        </w:rPr>
        <w:t xml:space="preserve">Lock the Gradle dependency set ( third-party libraries) and any persistence schemas. Document every external contract before migration begins — this becomes the parity baseline.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1 — Module Extraction</w:t>
      </w:r>
    </w:p>
    <w:p>
      <w:pPr>
        <w:spacing w:after="80" w:before="80"/>
      </w:pPr>
      <w:r>
        <w:rPr>
          <w:sz w:val="22"/>
          <w:szCs w:val="22"/>
        </w:rPr>
        <w:t xml:space="preserve">Extract the 8 modules in dependency order: leaf modules first (no dependents), then inner modules. Each extraction includes a contract test proving no behavioral drift.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2 — API Surface Migration</w:t>
      </w:r>
    </w:p>
    <w:p>
      <w:pPr>
        <w:spacing w:after="80" w:before="80"/>
      </w:pPr>
      <w:r>
        <w:rPr>
          <w:sz w:val="22"/>
          <w:szCs w:val="22"/>
        </w:rPr>
        <w:t xml:space="preserve">Migrate each of the  API routes behind a façade: old and new endpoints run side-by-side during cut-over, with shadow-traffic comparisons confirming parity.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3 — Async &amp; Coroutine Migration</w:t>
      </w:r>
    </w:p>
    <w:p>
      <w:pPr>
        <w:spacing w:after="80" w:before="80"/>
      </w:pPr>
      <w:r>
        <w:rPr>
          <w:sz w:val="22"/>
          <w:szCs w:val="22"/>
        </w:rPr>
        <w:t xml:space="preserve">Port suspend functions and Flow pipelines to the target concurrency model. Structural concurrency boundaries need explicit reasoning — not a mechanical rewrite.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4 — Dependency Injection &amp; Wiring</w:t>
      </w:r>
    </w:p>
    <w:p>
      <w:pPr>
        <w:spacing w:after="80" w:before="80"/>
      </w:pPr>
      <w:r>
        <w:rPr>
          <w:sz w:val="22"/>
          <w:szCs w:val="22"/>
        </w:rPr>
        <w:t xml:space="preserve">Replace Hilt/Dagger/Koin wiring per DEC-KOTLIN-DI-001. Modules should be constructor-injectable after this phase — no service-locator patterns.</w:t>
      </w:r>
    </w:p>
    <w:p>
      <w:pPr>
        <w:pStyle w:val="Heading3"/>
        <w:spacing w:after="100" w:before="220"/>
      </w:pPr>
      <w:r>
        <w:rPr>
          <w:b/>
          <w:bCs/>
          <w:color w:val="475569"/>
          <w:sz w:val="24"/>
          <w:szCs w:val="24"/>
        </w:rPr>
        <w:t xml:space="preserve">Phase 5 — Platform Primitives &amp; Observability</w:t>
      </w:r>
    </w:p>
    <w:p>
      <w:pPr>
        <w:spacing w:after="80" w:before="80"/>
      </w:pPr>
      <w:r>
        <w:rPr>
          <w:sz w:val="22"/>
          <w:szCs w:val="22"/>
        </w:rPr>
        <w:t xml:space="preserve">Replace Kotlin-specific primitives (data classes, sealed classes, extension functions) with target-platform equivalents. Re-instrument logging, metrics, and tracing on the new stack.</w:t>
      </w:r>
    </w:p>
    <w:p>
      <w:pPr>
        <w:pStyle w:val="Heading2"/>
        <w:spacing w:after="120" w:before="260"/>
      </w:pPr>
      <w:r>
        <w:rPr>
          <w:b/>
          <w:bCs/>
          <w:color w:val="1B7A8C"/>
          <w:sz w:val="28"/>
          <w:szCs w:val="28"/>
        </w:rPr>
        <w:t xml:space="preserve">11. Risks</w:t>
      </w:r>
    </w:p>
    <w:tbl>
      <w:tblPr>
        <w:tblW w:type="dxa" w:w="104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Risk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Impact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E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Mitigation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Potential loss of functionality during translation.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high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Implement thorough testing and validation post-translation.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Performance degradation in the new Go system.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Conduct performance benchmarking and optimization.</w:t>
            </w:r>
          </w:p>
        </w:tc>
      </w:tr>
      <w:tr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Security vulnerabilities in the new system.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medium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Perform security audits and penetration testing.</w:t>
            </w:r>
          </w:p>
        </w:tc>
      </w:tr>
    </w:tbl>
    <w:p>
      <w:pPr>
        <w:spacing w:after="120"/>
      </w:pPr>
    </w:p>
    <w:sectPr>
      <w:headerReference w:type="default" r:id="rId7"/>
      <w:footerReference w:type="default" r:id="rId8"/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7A8C" w:sz="4" w:space="4"/>
      </w:pBdr>
      <w:spacing w:before="70"/>
    </w:pPr>
    <w:r>
      <w:rPr>
        <w:rFonts w:ascii="Arial" w:cs="Arial" w:eastAsia="Arial" w:hAnsi="Arial"/>
        <w:color w:val="475569"/>
        <w:sz w:val="16"/>
        <w:szCs w:val="16"/>
      </w:rPr>
      <w:t xml:space="preserve">Synthetix BRD</w:t>
    </w:r>
    <w:r>
      <w:rPr>
        <w:rFonts w:ascii="Arial" w:cs="Arial" w:eastAsia="Arial" w:hAnsi="Arial"/>
        <w:color w:val="475569"/>
        <w:sz w:val="16"/>
        <w:szCs w:val="16"/>
      </w:rPr>
      <w:t xml:space="preserve">  |  Page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75569"/>
        <w:sz w:val="16"/>
        <w:szCs w:val="16"/>
      </w:rPr>
      <w:t xml:space="preserve"> of </w:t>
    </w:r>
    <w:r>
      <w:rPr>
        <w:rFonts w:ascii="Arial" w:cs="Arial" w:eastAsia="Arial" w:hAnsi="Arial"/>
        <w:color w:val="47556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7A8C" w:sz="6" w:space="4"/>
      </w:pBdr>
      <w:spacing w:after="70"/>
    </w:pPr>
    <w:r>
      <w:rPr>
        <w:rFonts w:ascii="Arial" w:cs="Arial" w:eastAsia="Arial" w:hAnsi="Arial"/>
        <w:b/>
        <w:bCs/>
        <w:color w:val="1F3864"/>
        <w:sz w:val="18"/>
        <w:szCs w:val="18"/>
      </w:rPr>
      <w:t xml:space="preserve">Chirp Backend Modernization — Kotlin Modernization BRD - Business Requirements Document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2026-05-14T10:43:44.743Z</dcterms:created>
  <dcterms:modified xsi:type="dcterms:W3CDTF">2026-05-14T10:43:44.743Z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