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Contractor Management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magicbox-contractor-management-modernization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Contractor Management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129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testability.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automatic mapping of DTOs.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for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OIDC for modern authentication needs.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for better accuracy.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strict parity for legacy feature translation.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testability.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automatic mapping of DTOs.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for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OIDC for modern authentication needs.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for better accuracy.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strict parity for legacy feature translation.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no explicitly owned entities yet.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no explicitly owned entities yet.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no explicitly owned entities yet.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no explicitly owned entities yet.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no explicitly owned entities yet.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no explicitly owned entities yet.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129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CONTRACTOR MANAGEMENT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Prometheus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ELK Stack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System response time under load should not exceed 2 seconds. (verified via Load test at 10× expected peak; measure p95/p99.)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[NFR-003·SHOULD] System uptime should be 99.9% or higher. (verified via SLO monitoring over rolling 30-day window.)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System can handle a 50% increase in users without performance loss. (verified via Scalability testing with simulated user growth.)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All sensitive data is encrypted at rest and in transit. (verified via SAST + pre-prod pen test.)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[NFR-004·SHOULD] User satisfaction scores should be 85% or higher. (verified via User testing and feedback analysis.)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501155adf818ecbd775d730217f40b6f5963a72ab2f439c8c161e84265f5ea4d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9b6e67d9f7f4a0f77d27732847d780f60f05a649a1679444e50f9c3314f56f78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3cfc5362de50bea01d0b4ea17f2f55be4da2fda1511509f19ddcae163a4dc1af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