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FR-007 — Integration with Third-party APIs (P1)</w:t>
      </w:r>
    </w:p>
    <w:p>
      <w:pPr>
        <w:spacing w:after="80" w:before="80"/>
      </w:pPr>
      <w:r>
        <w:rPr>
          <w:sz w:val="22"/>
          <w:szCs w:val="22"/>
        </w:rPr>
        <w:t xml:space="preserve">Ensure seamless integration with existing third-party APIs post-migration.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third-party integrations are tested and validated.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 response times meet performance criteria.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handling is implemented for API failures.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response times are consistently under 200ms.; Performance tests are conducted under peak load conditions.; Performance metrics are documented and reviewed regularly.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Regular security audits are conducted.; All identified vulnerabilities are addressed promptly.; Security policies are documented and enforced.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architecture supports horizontal scaling.; Scalability tests confirm system can handle increased load.; Documentation includes guidelines for scaling.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uptime is monitored and reported.; Redundancy measures are implemented to prevent downtime.; Incident response plans are documented and tested.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feedback is collected and analyzed regularly.; Usability tests confirm ease of use.; Accessibility standards are met for all users.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placements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Controller/ContractorPlacementController.php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input_validation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Customer data must be validated before being saved to the database.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Sales &amp; CRM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Controller/SalesController.php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85%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data validation and testing post-migration.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due to increased load.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scalability tests and optimize system architecture.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vulnerabilities in the new system.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Regular security audits and adherence to best practices.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2026-05-12T15:19:22.330Z</dcterms:created>
  <dcterms:modified xsi:type="dcterms:W3CDTF">2026-05-12T15:19:22.330Z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