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 comprehensive guide to the phased UI migration and modernization of MagicBox.</w:t>
      </w:r>
    </w:p>
    <w:p>
      <w:r>
        <w:rPr>
          <w:b w:val="0"/>
          <w:color w:val="6B7280"/>
          <w:sz w:val="18"/>
        </w:rPr>
        <w:t>Run 20260512_164514_18382554  ·  Generated 2026-05-12T16:46:09.351999+00:00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MagicBox modernization strategy and current project status.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Ensure the MagicBox modernization emits grounded macro services and reports no blocking ports.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UI Migration recommended.</w:t>
      </w:r>
    </w:p>
    <w:p>
      <w:r>
        <w:rPr>
          <w:b w:val="0"/>
          <w:color w:val="111827"/>
          <w:sz w:val="20"/>
        </w:rPr>
        <w:t>The MagicBox Modernization project aims to transition to a more robust architecture by implementing a phased UI migration strategy. This approach ensures a gradual shift to .NET, maintaining existing functionality while capturing golden flows and baseline outputs. The project is currently in a high-risk tier with a readiness score of 40, necessitating careful management of dependencies and risk controls. The modernization will focus on emitting grounded macro services and ensuring no blocking ports are reported.</w:t>
      </w:r>
    </w:p>
    <w:p>
      <w:pPr>
        <w:pStyle w:val="ListParagraph"/>
      </w:pPr>
      <w:r>
        <w:rPr>
          <w:b w:val="0"/>
          <w:color w:val="111827"/>
          <w:sz w:val="18"/>
        </w:rPr>
        <w:t>- Objective: Transition MagicBox to a modern architecture with no blocking ports.</w:t>
      </w:r>
    </w:p>
    <w:p>
      <w:pPr>
        <w:pStyle w:val="ListParagraph"/>
      </w:pPr>
      <w:r>
        <w:rPr>
          <w:b w:val="0"/>
          <w:color w:val="111827"/>
          <w:sz w:val="18"/>
        </w:rPr>
        <w:t>- Strategy: Phased UI Migration to .NET, maintaining existing functionality.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Score: 40, indicating high-risk tier.</w:t>
      </w:r>
    </w:p>
    <w:p>
      <w:pPr>
        <w:pStyle w:val="ListParagraph"/>
      </w:pPr>
      <w:r>
        <w:rPr>
          <w:b w:val="0"/>
          <w:color w:val="111827"/>
          <w:sz w:val="18"/>
        </w:rPr>
        <w:t>- Focus: Emit grounded macro services and manage dependencies.</w:t>
      </w:r>
    </w:p>
    <w:p>
      <w:pPr>
        <w:pStyle w:val="ListParagraph"/>
      </w:pPr>
      <w:r>
        <w:rPr>
          <w:b w:val="0"/>
          <w:color w:val="111827"/>
          <w:sz w:val="18"/>
        </w:rPr>
        <w:t>- Outcome: Capture golden flows and baseline outputs.</w:t>
      </w:r>
    </w:p>
    <w:p>
      <w:pPr>
        <w:pStyle w:val="ListParagraph"/>
      </w:pPr>
      <w:r>
        <w:rPr>
          <w:b w:val="0"/>
          <w:color w:val="111827"/>
          <w:sz w:val="18"/>
        </w:rPr>
        <w:t>- Phases include Baseline, Incremental Migration, and Hardening.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The project is in a high-risk tier with a readiness score of 40.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UI Migration: </w:t>
      </w:r>
      <w:r>
        <w:rPr>
          <w:b w:val="0"/>
          <w:color w:val="111827"/>
          <w:sz w:val="20"/>
        </w:rPr>
        <w:t>Allows gradual transition to .NET while maintaining existing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(5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2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Staffing &amp; Recruitment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Detailed mapping of current dependencies and risk controls in place.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Comprehensive dossiers on forms and modules targeted for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Staffing &amp; Recruitment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Candidates must complete onboarding before placement.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BR-002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Staffing &amp; Recruitment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input_validation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All candidate data must be validated before submission.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Documentation of golden flows and baseline outputs for equivalence harness.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of changes and migration impacts across the system.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planning and execution for phased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Identification and management of risks associated with modernization efforts.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downtime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phased migration with rollback plans.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 integrity issues during transition.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thorough data validation and testing.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artifact://legacy_inventory/1.0/art_legacy_inventory_b4aa94ddf7a94a0f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artifact://repo_landscape/1.0/art_repo_landscape_c3ede2a827fc487a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artifact://scope_lock/1.0/art_scope_lock_8c12ccb5d43c43eb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artifact://variant_inventory/1.0/art_variant_inventory_00bd146ff3644571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artifact://event_map/1.0/art_event_map_369baec81b654558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artifact://sql_catalog/1.0/art_sql_catalog_e289f57c49514310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artifact://sql_map/1.0/art_sql_map_8202a255e8594ca2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artifact://data_access_map/1.0/art_data_access_map_6e26b35e4ee44a16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artifact://recordset_ops/1.0/art_recordset_ops_a1128641fc80424d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artifact://procedure_summary/1.0/art_procedure_summary_ca45685e28144d88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artifact://form_dossier/1.0/art_form_dossier_d2c28f2d7a0247e7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artifact://dependency_inventory/1.0/art_dependency_inventory_b436d5bf761f4b3d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artifact://dependency_inventory/1.0/art_dependency_inventory_b436d5bf761f4b3d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artifact://business_rule_catalog/1.0/art_business_rule_catalog_87f36b0daeea4b97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artifact://detector_findings/1.0/art_detector_findings_774ce893cf4c4768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artifact://risk_register/1.0/art_risk_register_50198dfc894d488b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artifact://orphan_analysis/1.0/art_orphan_analysis_6b32db1bb19345b9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artifact://delivery_constitution/1.0/art_delivery_constitution_d9ea7354d71049f2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artifact://variant_diff_report/1.0/art_variant_diff_report_8aceafeabb314165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artifact://reporting_model/1.0/art_reporting_model_fe45a1c98be846ab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artifact://identity_access_model/1.0/art_identity_access_model_90c2679ed5524583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artifact://discover_review_checklist/1.0/art_discover_review_checklist_254827a858294ecb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artifact://artifact_index/1.0/art_artifact_index_b82c5e6e9057471e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runctx://runctx-ea4a8ec31e639f1d/kctx-6c852fcceab50a55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runctx://runctx-ea4a8ec31e639f1d/delivery_constitution/const-d3d4c749ff6b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