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Code Modernization Workbook</w:t>
            </w:r>
          </w:p>
        </w:tc>
      </w:tr>
    </w:tbl>
    <w:p>
      <w:r>
        <w:rPr>
          <w:b/>
          <w:color w:val="1F6B75"/>
          <w:sz w:val="26"/>
        </w:rPr>
        <w:t>MagicBox Code Modernization</w:t>
      </w:r>
    </w:p>
    <w:p>
      <w:r>
        <w:rPr>
          <w:b w:val="0"/>
          <w:color w:val="111827"/>
          <w:sz w:val="20"/>
        </w:rPr>
        <w:t>Guidance for translating legacy code with expanded budget and strategic patterns.</w:t>
      </w:r>
    </w:p>
    <w:p>
      <w:r>
        <w:rPr>
          <w:b w:val="0"/>
          <w:color w:val="6B7280"/>
          <w:sz w:val="18"/>
        </w:rPr>
        <w:t>Run 20260512_213907_97e687b5  ·  Generated 2026-05-12T21:39:42.777919+00:00  ·  Repo app</w:t>
      </w:r>
    </w:p>
    <w:p/>
    <w:p>
      <w:pPr>
        <w:pStyle w:val="Heading1"/>
      </w:pPr>
      <w:r>
        <w:t>Executive Snapshot</w:t>
      </w:r>
    </w:p>
    <w:p>
      <w:r>
        <w:rPr>
          <w:b w:val="0"/>
          <w:color w:val="6B7280"/>
          <w:sz w:val="18"/>
        </w:rPr>
        <w:t>Overview of the modernization strategy and objectives for stakeholders.</w:t>
      </w:r>
    </w:p>
    <w:p>
      <w:r>
        <w:rPr>
          <w:b/>
          <w:color w:val="2E75B6"/>
          <w:sz w:val="20"/>
        </w:rPr>
        <w:t xml:space="preserve">Objective: </w:t>
      </w:r>
      <w:r>
        <w:rPr>
          <w:b w:val="0"/>
          <w:color w:val="111827"/>
          <w:sz w:val="20"/>
        </w:rPr>
        <w:t>The objective is to ensure that the expanded budget for legacy code modernization results in successfully translated code.</w:t>
      </w:r>
    </w:p>
    <w:p>
      <w:r>
        <w:rPr>
          <w:b/>
          <w:color w:val="2E75B6"/>
          <w:sz w:val="20"/>
        </w:rPr>
        <w:t xml:space="preserve">Summary: </w:t>
      </w:r>
      <w:r>
        <w:rPr>
          <w:b w:val="0"/>
          <w:color w:val="111827"/>
          <w:sz w:val="20"/>
        </w:rPr>
        <w:t>Strangler Fig Pattern recommended.</w:t>
      </w:r>
    </w:p>
    <w:p>
      <w:r>
        <w:rPr>
          <w:b w:val="0"/>
          <w:color w:val="111827"/>
          <w:sz w:val="20"/>
        </w:rPr>
        <w:t>The MagicBox Code Modernization project aims to leverage the expanded budget to effectively translate legacy PHP code into .NET. Utilizing the Strangler Fig Pattern, the project will gradually replace components, ensuring minimal disruption and maintaining system integrity. The strategy is divided into three phases: establishing baselines, migrating incrementally, and finalizing with quality assurance. Despite a high-risk tier and zero readiness score, the project is poised to achieve its objectives through structured phases and strategic planning.</w:t>
      </w:r>
    </w:p>
    <w:p>
      <w:pPr>
        <w:pStyle w:val="ListParagraph"/>
      </w:pPr>
      <w:r>
        <w:rPr>
          <w:b w:val="0"/>
          <w:color w:val="111827"/>
          <w:sz w:val="18"/>
        </w:rPr>
        <w:t>- Objective: Translate legacy PHP code to .NET within budget.</w:t>
      </w:r>
    </w:p>
    <w:p>
      <w:pPr>
        <w:pStyle w:val="ListParagraph"/>
      </w:pPr>
      <w:r>
        <w:rPr>
          <w:b w:val="0"/>
          <w:color w:val="111827"/>
          <w:sz w:val="18"/>
        </w:rPr>
        <w:t>- Strategy: Use Strangler Fig Pattern for gradual replacement.</w:t>
      </w:r>
    </w:p>
    <w:p>
      <w:pPr>
        <w:pStyle w:val="ListParagraph"/>
      </w:pPr>
      <w:r>
        <w:rPr>
          <w:b w:val="0"/>
          <w:color w:val="111827"/>
          <w:sz w:val="18"/>
        </w:rPr>
        <w:t>- Phases: Baseline, Migration, Hardening.</w:t>
      </w:r>
    </w:p>
    <w:p>
      <w:pPr>
        <w:pStyle w:val="ListParagraph"/>
      </w:pPr>
      <w:r>
        <w:rPr>
          <w:b w:val="0"/>
          <w:color w:val="111827"/>
          <w:sz w:val="18"/>
        </w:rPr>
        <w:t>- Risk Tier: High, with zero readiness score.</w:t>
      </w:r>
    </w:p>
    <w:p>
      <w:pPr>
        <w:pStyle w:val="ListParagraph"/>
      </w:pPr>
      <w:r>
        <w:rPr>
          <w:b w:val="0"/>
          <w:color w:val="111827"/>
          <w:sz w:val="18"/>
        </w:rPr>
        <w:t>- Outcome: Minimize disruption, ensure system integrity.</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Alert: </w:t>
      </w:r>
      <w:r>
        <w:rPr>
          <w:b w:val="0"/>
          <w:color w:val="111827"/>
          <w:sz w:val="18"/>
        </w:rPr>
        <w:t>High risk tier due to zero readiness score.</w:t>
      </w:r>
    </w:p>
    <w:p>
      <w:pPr>
        <w:pStyle w:val="Heading2"/>
      </w:pPr>
      <w:r>
        <w:t>Recommended Modernization Strategy</w:t>
      </w:r>
    </w:p>
    <w:p>
      <w:r>
        <w:rPr>
          <w:b/>
          <w:color w:val="1F6B75"/>
          <w:sz w:val="20"/>
        </w:rPr>
        <w:t xml:space="preserve">Strangler Fig Pattern: </w:t>
      </w:r>
      <w:r>
        <w:rPr>
          <w:b w:val="0"/>
          <w:color w:val="111827"/>
          <w:sz w:val="20"/>
        </w:rPr>
        <w:t>Allows gradual replacement of PHP components with .NET equivalents.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DEC-COMPLIANCE-001</w:t>
            </w:r>
          </w:p>
        </w:tc>
        <w:tc>
          <w:tcPr>
            <w:tcW w:type="dxa" w:w="3360"/>
            <w:shd w:val="clear" w:color="auto" w:fill="F3F4F6"/>
          </w:tcPr>
          <w:p>
            <w:r/>
            <w:r>
              <w:rPr>
                <w:b w:val="0"/>
                <w:color w:val="111827"/>
                <w:sz w:val="18"/>
              </w:rPr>
              <w:t>Confirm the compliance/privacy framework that governs contractor onboarding, placement, and offboarding flows.</w:t>
            </w:r>
          </w:p>
        </w:tc>
        <w:tc>
          <w:tcPr>
            <w:tcW w:type="dxa" w:w="3360"/>
            <w:shd w:val="clear" w:color="auto" w:fill="F3F4F6"/>
          </w:tcPr>
          <w:p>
            <w:r/>
            <w:r>
              <w:rPr>
                <w:b w:val="0"/>
                <w:color w:val="111827"/>
                <w:sz w:val="18"/>
              </w:rPr>
              <w:t>Map staffing-domain controls (for example credential handling, audit logging, COBRA/offboarding notifications, and wage/hour or background-screening obligations) into requirements and tests before Build.</w:t>
            </w:r>
          </w:p>
        </w:tc>
      </w:tr>
      <w:tr>
        <w:tc>
          <w:tcPr>
            <w:tcW w:type="dxa" w:w="3360"/>
          </w:tcPr>
          <w:p>
            <w:r/>
            <w:r>
              <w:rPr>
                <w:b w:val="0"/>
                <w:color w:val="111827"/>
                <w:sz w:val="18"/>
              </w:rPr>
              <w:t>DEC-OBS-001</w:t>
            </w:r>
          </w:p>
        </w:tc>
        <w:tc>
          <w:tcPr>
            <w:tcW w:type="dxa" w:w="3360"/>
          </w:tcPr>
          <w:p>
            <w:r/>
            <w:r>
              <w:rPr>
                <w:b w:val="0"/>
                <w:color w:val="111827"/>
                <w:sz w:val="18"/>
              </w:rPr>
              <w:t>Logging and observability stack for migrated runtime</w:t>
            </w:r>
          </w:p>
        </w:tc>
        <w:tc>
          <w:tcPr>
            <w:tcW w:type="dxa" w:w="3360"/>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(3 derived item(s), threshold 3).</w:t>
            </w:r>
          </w:p>
        </w:tc>
      </w:tr>
      <w:tr>
        <w:tc>
          <w:tcPr>
            <w:tcW w:type="dxa" w:w="3360"/>
          </w:tcPr>
          <w:p>
            <w:r/>
            <w:r>
              <w:rPr>
                <w:b w:val="0"/>
                <w:color w:val="111827"/>
                <w:sz w:val="18"/>
              </w:rPr>
              <w:t>compliance_constraints_applied</w:t>
            </w:r>
          </w:p>
        </w:tc>
        <w:tc>
          <w:tcPr>
            <w:tcW w:type="dxa" w:w="3360"/>
            <w:shd w:val="clear" w:color="auto" w:fill="FEE2E2"/>
          </w:tcPr>
          <w:p>
            <w:r/>
            <w:r>
              <w:rPr>
                <w:b w:val="0"/>
                <w:color w:val="111827"/>
                <w:sz w:val="18"/>
              </w:rPr>
              <w:t>FAIL</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Placement process</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current dependencies to identify potential risks and controls.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analysis of forms and modules for migration planning.</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Placement process</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Placement must be approved by a co-approver before onboarding.</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Documenting golden flows to establish baseline outputs.</w:t>
      </w:r>
    </w:p>
    <w:p>
      <w:r>
        <w:br w:type="page"/>
      </w:r>
    </w:p>
    <w:p>
      <w:pPr>
        <w:pStyle w:val="Heading1"/>
      </w:pPr>
      <w:r>
        <w:t>Section Q - Form Traceability Matrix</w:t>
      </w:r>
    </w:p>
    <w:p>
      <w:r>
        <w:rPr>
          <w:b w:val="0"/>
          <w:color w:val="6B7280"/>
          <w:sz w:val="18"/>
        </w:rPr>
        <w:t>Ensuring traceability of changes throughout the modernization process.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Organizing work into sprints for phased migration and testing.</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Identifying and mitigating risks associated with code modernization.</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data loss during migration.</w:t>
            </w:r>
          </w:p>
        </w:tc>
        <w:tc>
          <w:tcPr>
            <w:tcW w:type="dxa" w:w="2520"/>
          </w:tcPr>
          <w:p>
            <w:r/>
            <w:r>
              <w:rPr>
                <w:b w:val="0"/>
                <w:color w:val="111827"/>
                <w:sz w:val="16"/>
              </w:rPr>
              <w:t>Implement thorough data validation and backup procedures.</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Integration issues with third-party services.</w:t>
            </w:r>
          </w:p>
        </w:tc>
        <w:tc>
          <w:tcPr>
            <w:tcW w:type="dxa" w:w="2520"/>
            <w:shd w:val="clear" w:color="auto" w:fill="F3F4F6"/>
          </w:tcPr>
          <w:p>
            <w:r/>
            <w:r>
              <w:rPr>
                <w:b w:val="0"/>
                <w:color w:val="111827"/>
                <w:sz w:val="16"/>
              </w:rPr>
              <w:t>Conduct early integration testing with all external services.</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artifact://legacy_inventory/1.0/art_legacy_inventory_7ba757bc74d841f6</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artifact://repo_landscape/1.0/art_repo_landscape_24c129129e7f4369</w:t>
            </w:r>
          </w:p>
        </w:tc>
      </w:tr>
      <w:tr>
        <w:tc>
          <w:tcPr>
            <w:tcW w:type="dxa" w:w="5040"/>
          </w:tcPr>
          <w:p>
            <w:r/>
            <w:r>
              <w:rPr>
                <w:b w:val="0"/>
                <w:color w:val="111827"/>
                <w:sz w:val="16"/>
              </w:rPr>
              <w:t>scope_lock_ref</w:t>
            </w:r>
          </w:p>
        </w:tc>
        <w:tc>
          <w:tcPr>
            <w:tcW w:type="dxa" w:w="5040"/>
          </w:tcPr>
          <w:p>
            <w:r/>
            <w:r>
              <w:rPr>
                <w:b w:val="0"/>
                <w:color w:val="111827"/>
                <w:sz w:val="16"/>
              </w:rPr>
              <w:t>artifact://scope_lock/1.0/art_scope_lock_6402239bcc7540f2</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artifact://variant_inventory/1.0/art_variant_inventory_6d7f6565705d4045</w:t>
            </w:r>
          </w:p>
        </w:tc>
      </w:tr>
      <w:tr>
        <w:tc>
          <w:tcPr>
            <w:tcW w:type="dxa" w:w="5040"/>
          </w:tcPr>
          <w:p>
            <w:r/>
            <w:r>
              <w:rPr>
                <w:b w:val="0"/>
                <w:color w:val="111827"/>
                <w:sz w:val="16"/>
              </w:rPr>
              <w:t>event_map_ref</w:t>
            </w:r>
          </w:p>
        </w:tc>
        <w:tc>
          <w:tcPr>
            <w:tcW w:type="dxa" w:w="5040"/>
          </w:tcPr>
          <w:p>
            <w:r/>
            <w:r>
              <w:rPr>
                <w:b w:val="0"/>
                <w:color w:val="111827"/>
                <w:sz w:val="16"/>
              </w:rPr>
              <w:t>artifact://event_map/1.0/art_event_map_aa4c12c838ba41fe</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artifact://sql_catalog/1.0/art_sql_catalog_566aac955a014008</w:t>
            </w:r>
          </w:p>
        </w:tc>
      </w:tr>
      <w:tr>
        <w:tc>
          <w:tcPr>
            <w:tcW w:type="dxa" w:w="5040"/>
          </w:tcPr>
          <w:p>
            <w:r/>
            <w:r>
              <w:rPr>
                <w:b w:val="0"/>
                <w:color w:val="111827"/>
                <w:sz w:val="16"/>
              </w:rPr>
              <w:t>sql_map_ref</w:t>
            </w:r>
          </w:p>
        </w:tc>
        <w:tc>
          <w:tcPr>
            <w:tcW w:type="dxa" w:w="5040"/>
          </w:tcPr>
          <w:p>
            <w:r/>
            <w:r>
              <w:rPr>
                <w:b w:val="0"/>
                <w:color w:val="111827"/>
                <w:sz w:val="16"/>
              </w:rPr>
              <w:t>artifact://sql_map/1.0/art_sql_map_62fcb06b99544dde</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artifact://data_access_map/1.0/art_data_access_map_359c3290633f46fd</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artifact://recordset_ops/1.0/art_recordset_ops_b42ba5cb87f948e5</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artifact://procedure_summary/1.0/art_procedure_summary_e2513e650de14eee</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artifact://form_dossier/1.0/art_form_dossier_99016ed5f5f647a4</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artifact://dependency_inventory/1.0/art_dependency_inventory_4a91c486c8a94106</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artifact://dependency_inventory/1.0/art_dependency_inventory_4a91c486c8a94106</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artifact://business_rule_catalog/1.0/art_business_rule_catalog_57aaecd6e9e8434c</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artifact://detector_findings/1.0/art_detector_findings_1ceb16aea5e84180</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artifact://risk_register/1.0/art_risk_register_6c5cfffbd9c745d5</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artifact://orphan_analysis/1.0/art_orphan_analysis_28db853b2eab4115</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artifact://delivery_constitution/1.0/art_delivery_constitution_c8a52e57e7cc467d</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artifact://variant_diff_report/1.0/art_variant_diff_report_dd89785d95b34437</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artifact://reporting_model/1.0/art_reporting_model_6faad97e95244c8a</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artifact://identity_access_model/1.0/art_identity_access_model_5913195675b348b6</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artifact://discover_review_checklist/1.0/art_discover_review_checklist_3c15308342554214</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artifact://artifact_index/1.0/art_artifact_index_19363f2a81854194</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runctx://runctx-b6977f96db196d29/kctx-0f4b7e7e4cb3a338</w:t>
            </w:r>
          </w:p>
        </w:tc>
      </w:tr>
      <w:tr>
        <w:tc>
          <w:tcPr>
            <w:tcW w:type="dxa" w:w="5040"/>
          </w:tcPr>
          <w:p>
            <w:r/>
            <w:r>
              <w:rPr>
                <w:b w:val="0"/>
                <w:color w:val="111827"/>
                <w:sz w:val="16"/>
              </w:rPr>
              <w:t>run_delivery_constitution_ref</w:t>
            </w:r>
          </w:p>
        </w:tc>
        <w:tc>
          <w:tcPr>
            <w:tcW w:type="dxa" w:w="5040"/>
          </w:tcPr>
          <w:p>
            <w:r/>
            <w:r>
              <w:rPr>
                <w:b w:val="0"/>
                <w:color w:val="111827"/>
                <w:sz w:val="16"/>
              </w:rPr>
              <w:t>runctx://runctx-b6977f96db196d29/delivery_constitution/const-cdb1675fe964</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