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operations.</w:t>
      </w:r>
    </w:p>
    <w:p>
      <w:r>
        <w:rPr>
          <w:b w:val="0"/>
          <w:i w:val="0"/>
          <w:color w:val="111111"/>
          <w:sz w:val="20"/>
        </w:rPr>
        <w:t>Verify language normalization. Stage 4 should now produce scaffolds.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Code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magicbox-code-modernization.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73490cb0f093a3ee7fee241de07333d9b3ac2645afe498d4f22a5975ed8f9809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775ae091395702ce626b847254577b0e71096e90015e4fe978a4beb26166abf3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