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Analyst Brief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34155"/>
          <w:sz w:val="40"/>
          <w:szCs w:val="40"/>
        </w:rPr>
        <w:t xml:space="preserve">Technical Workbook</w:t>
      </w:r>
    </w:p>
    <w:p>
      <w:pPr>
        <w:pBdr>
          <w:bottom w:val="single" w:color="334155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Developer Reference — Migration Engineering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2026-05-14   ·   Repo: https://github.com/philipplackner/chirp-api @ detached (unknown)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Internal — Engineering Use Only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Index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Linked index for quick navigation across workbook sections.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Project Inventory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Current technical analysis covers 0 LOC across 0 files in the selected analysis scope. Unless the scope lock explicitly states full-repository coverage, this workbook should be treated as the current analyzed slice rather than the entire application.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Project variants analysed from the repository. Member counts include forms and modules. Source LOC scanned: 0 (forms: 0, modules: 0, classes: 0, designers: 0) across 0 files. Forms are shown as mapped/discovered to expose excluded/unresolved form files.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1200"/>
        <w:gridCol w:w="800"/>
        <w:gridCol w:w="1300"/>
        <w:gridCol w:w="700"/>
        <w:gridCol w:w="900"/>
        <w:gridCol w:w="1100"/>
        <w:gridCol w:w="13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Startup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Members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Forms (Mapped/Discovered)</w:t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LOC</w:t>
            </w:r>
          </w:p>
        </w:tc>
        <w:tc>
          <w:tcPr>
            <w:tcW w:type="dxa" w:w="1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Tables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Static Forensics Addendum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Static forensics signals summarize code-only findings that support discovery, including source database clues, connection-string variants, dead-form references, global module state, and related static evidence.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Deterministic static-analysis outputs from Discover used to support schema archaeology, traceability, and migration planning.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MDB / Access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MDB/ACCDB files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Connection String Variants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connection-string variants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Module Global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inferred module globals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Dead Form References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unresolved form references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DataEnvironment / Report Mapping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DataEnvironment/report mappings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Static Risk Detectors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static detector findings emitted.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Form and Dependency Inventory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Active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Active forms are the canonical in-scope form members associated with the resolved project set. Use this table as the authoritative form/file inventory for the technical workbook.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active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Orphan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Orphan forms were discovered in the repository but are not active project members for the analyzed build. They are retained here for technical review only.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orphan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K-Tech Technical Matrix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Technical matrix for active forms only: form type, ActiveX usage, DB tables, action count, and coverage/confidence.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600"/>
        <w:gridCol w:w="1800"/>
        <w:gridCol w:w="1400"/>
        <w:gridCol w:w="600"/>
        <w:gridCol w:w="1440"/>
      </w:tblGrid>
      <w:tr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 Dependencies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Tables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Cov%</w:t>
            </w:r>
          </w:p>
        </w:tc>
        <w:tc>
          <w:tcPr>
            <w:tcW w:type="dxa" w:w="14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External Dependencies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external dependencies (OCX, DLL, COM references) discovered across projects. GUID is used for COM registration lookup. Migration action indicates recommended replacement strategy.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2200"/>
        <w:gridCol w:w="2200"/>
        <w:gridCol w:w="900"/>
        <w:gridCol w:w="20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GUID / Reference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 Forms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2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Migration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SQL Catalog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SQL operations discovered in source code, indexed by form and handler. Operations classified by type (SELECT/INSERT/UPDATE/DELETE). Basis for data access layer design in the migrated system.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SQL operations detected.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Form Flow Traces (P)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Per-form callable trace: each event handler and procedure with its kind, triggering event, ActiveX dependency, SQL operations executed, and table touchpoints. TRACE_GAP = the tool found a likely callable/flow context, but deterministic evidence was insufficient to prove the full SQL/table lineage. It does not mean the flow is absent; it means traceability remains incomplete and requires review.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Dependency Map (O)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Inter-form navigation links, shared module calls, and cross-variant schema conflicts used for technical dependency analysis and sequencing.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Navigation Links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navigation links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Shared Module Calls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shared module calls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Cross-Variant Schema Conflicts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cross-variant schema conflicts detected.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Risk Register — Technical Detail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risks flagged during analysis. Engineering team to review and confirm remediation approach for each. High severity items are hard blockers for production go-live.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240"/>
        <w:gridCol w:w="2500"/>
      </w:tblGrid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Technical Description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Detector Findings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Automated detector findings from the analysis platform — patterns flagged for engineering review.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7340"/>
          <w:sz w:val="18"/>
          <w:szCs w:val="18"/>
        </w:rPr>
        <w:t xml:space="preserve">No detector findings recorded.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Data Validation Details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Field-level validation details inferred from active-form inputs and business-rule signals. These details define expected format, mandatory checks, and acceptable values where evidence exists.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field-level validation signals were derived from the current form inventory.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10. Data Security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Business and technical security controls that must be preserved or strengthened in the migrated solution, including data access protection and credential handling.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explicit application-layer security controls were extracted. Preserve current data protections and validate encryption, credential handling, and database access controls during target design.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11. Third-Party Integration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Third-party components and local data-store integrations discovered in the legacy solution. This section documents APIs, OCX/DLL dependencies, and MDB-related exchange surfaces where present.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third-party components or explicit external integration surfaces were extracted beyond intrinsic VB runtime behavior.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12. UI Control Coverage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Observed selection/list controls and UI-input coverage inferred from the legacy form inventory. This is intended to highlight business-critical combobox/list inputs that must be preserved in the target UX.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raw selection/list controls were recovered from the current MD. If combobox/list values are business-critical, confirm them from the legacy form designers before migration.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34155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Internal — Engineering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4155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Analyst Brief — Technical Workbook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Synthetix AI Platform — Developer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2026-05-14T10:09:18.801Z</dcterms:created>
  <dcterms:modified xsi:type="dcterms:W3CDTF">2026-05-14T10:09:18.801Z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