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Refusal Protocol Implementation (P1)</w:t>
      </w:r>
    </w:p>
    <w:p>
      <w:pPr>
        <w:spacing w:after="80" w:before="80"/>
      </w:pPr>
      <w:r>
        <w:rPr>
          <w:sz w:val="22"/>
          <w:szCs w:val="22"/>
        </w:rPr>
        <w:t xml:space="preserve">Create a refusal protocol to handle specific business scenarios in contractor management.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Refusal protocol is documented and approved by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Protocol is integrated with existing workflows without disruption.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refusal scenarios are covered by automated tests.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Enhance Error Handling (P1)</w:t>
      </w:r>
    </w:p>
    <w:p>
      <w:pPr>
        <w:spacing w:after="80" w:before="80"/>
      </w:pPr>
      <w:r>
        <w:rPr>
          <w:sz w:val="22"/>
          <w:szCs w:val="22"/>
        </w:rPr>
        <w:t xml:space="preserve">Implement comprehensive error handling across the contractor management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critical operations have error handling mechanisms.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Errors are logged with sufficient detail for troubleshooting.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recovers gracefully from common errors.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Data Migration Strategy (P0)</w:t>
      </w:r>
    </w:p>
    <w:p>
      <w:pPr>
        <w:spacing w:after="80" w:before="80"/>
      </w:pPr>
      <w:r>
        <w:rPr>
          <w:sz w:val="22"/>
          <w:szCs w:val="22"/>
        </w:rPr>
        <w:t xml:space="preserve">Develop a strategy to migrate data from the legacy system to the new platform.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migration plan is approved by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data is migrated without loss or corruption.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Migration process is reversible in case of failure.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tests confirm performance metrics are met.; No significant performance degradation under peak load.; System scales horizontally to accommodate increased load.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critical vulnerabilities are found in security scans.; Regular security audits are conducted.; Security patches are applied within 48 hours of release.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meets the defined uptime metrics.; Redundancy is implemented for critical components.; Downtime is minimized during maintenance.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interface is intuitive and easy to navigate.; Accessibility standards are met (WCAG 2.1 AA).; User feedback is incorporated into design improvements.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Portability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export/import is tested for all key entities.; No data loss during export/import operations.; Exported data is compatible with common formats (CSV, JSON).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contractor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data migration testing and validation.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issues with external services.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integration testing with all external services.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2026-05-12T21:33:27.878Z</dcterms:created>
  <dcterms:modified xsi:type="dcterms:W3CDTF">2026-05-12T21:33:27.878Z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