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Legacy Modernization Scope Workbook</w:t>
            </w:r>
          </w:p>
        </w:tc>
      </w:tr>
    </w:tbl>
    <w:p>
      <w:r>
        <w:rPr>
          <w:b/>
          <w:color w:val="1F6B75"/>
          <w:sz w:val="26"/>
        </w:rPr>
        <w:t>Legacy Modernization Scope</w:t>
      </w:r>
    </w:p>
    <w:p>
      <w:r>
        <w:rPr>
          <w:b w:val="0"/>
          <w:color w:val="111827"/>
          <w:sz w:val="20"/>
        </w:rPr>
        <w:t>A strategic guide to phased modernization using real magicbox controllers.</w:t>
      </w:r>
    </w:p>
    <w:p>
      <w:r>
        <w:rPr>
          <w:b w:val="0"/>
          <w:color w:val="6B7280"/>
          <w:sz w:val="18"/>
        </w:rPr>
        <w:t>Run 20260512_150459_fa84ba32  ·  Generated 2026-05-12T15:05:58.964846+00:00  ·  Repo app</w:t>
      </w:r>
    </w:p>
    <w:p/>
    <w:p>
      <w:pPr>
        <w:pStyle w:val="Heading1"/>
      </w:pPr>
      <w:r>
        <w:t>Executive Snapshot</w:t>
      </w:r>
    </w:p>
    <w:p>
      <w:r>
        <w:rPr>
          <w:b w:val="0"/>
          <w:color w:val="6B7280"/>
          <w:sz w:val="18"/>
        </w:rPr>
        <w:t>An overview of the modernization strategy and its phased approach.</w:t>
      </w:r>
    </w:p>
    <w:p>
      <w:r>
        <w:rPr>
          <w:b/>
          <w:color w:val="2E75B6"/>
          <w:sz w:val="20"/>
        </w:rPr>
        <w:t xml:space="preserve">Objective: </w:t>
      </w:r>
      <w:r>
        <w:rPr>
          <w:b w:val="0"/>
          <w:color w:val="111827"/>
          <w:sz w:val="20"/>
        </w:rPr>
        <w:t>Produce a delivery plan grounded in real magicbox controllers.</w:t>
      </w:r>
    </w:p>
    <w:p>
      <w:r>
        <w:rPr>
          <w:b/>
          <w:color w:val="2E75B6"/>
          <w:sz w:val="20"/>
        </w:rPr>
        <w:t xml:space="preserve">Summary: </w:t>
      </w:r>
      <w:r>
        <w:rPr>
          <w:b w:val="0"/>
          <w:color w:val="111827"/>
          <w:sz w:val="20"/>
        </w:rPr>
        <w:t>Phased modernization recommended.</w:t>
      </w:r>
    </w:p>
    <w:p>
      <w:r>
        <w:rPr>
          <w:b w:val="0"/>
          <w:color w:val="111827"/>
          <w:sz w:val="20"/>
        </w:rPr>
        <w:t>This workbook outlines a strategic approach to modernizing legacy systems through a phased methodology. By focusing on preserving existing behaviors and incrementally replacing dependencies, the plan aims to ensure a controlled transition. The readiness score of 60 indicates moderate preparedness, while the medium risk tier suggests careful management is required. The strategy involves capturing baseline outputs, migrating with risk controls, and finalizing quality gates to ensure a successful modernization.</w:t>
      </w:r>
    </w:p>
    <w:p>
      <w:pPr>
        <w:pStyle w:val="ListParagraph"/>
      </w:pPr>
      <w:r>
        <w:rPr>
          <w:b w:val="0"/>
          <w:color w:val="111827"/>
          <w:sz w:val="18"/>
        </w:rPr>
        <w:t>- Phased modernization strategy to control transition.</w:t>
      </w:r>
    </w:p>
    <w:p>
      <w:pPr>
        <w:pStyle w:val="ListParagraph"/>
      </w:pPr>
      <w:r>
        <w:rPr>
          <w:b w:val="0"/>
          <w:color w:val="111827"/>
          <w:sz w:val="18"/>
        </w:rPr>
        <w:t>- Focus on preserving existing system behaviors.</w:t>
      </w:r>
    </w:p>
    <w:p>
      <w:pPr>
        <w:pStyle w:val="ListParagraph"/>
      </w:pPr>
      <w:r>
        <w:rPr>
          <w:b w:val="0"/>
          <w:color w:val="111827"/>
          <w:sz w:val="18"/>
        </w:rPr>
        <w:t>- Readiness score of 60 with medium risk tier.</w:t>
      </w:r>
    </w:p>
    <w:p>
      <w:pPr>
        <w:pStyle w:val="ListParagraph"/>
      </w:pPr>
      <w:r>
        <w:rPr>
          <w:b w:val="0"/>
          <w:color w:val="111827"/>
          <w:sz w:val="18"/>
        </w:rPr>
        <w:t>- Incremental migration and dependency replacement.</w:t>
      </w:r>
    </w:p>
    <w:p>
      <w:pPr>
        <w:pStyle w:val="ListParagraph"/>
      </w:pPr>
      <w:r>
        <w:rPr>
          <w:b w:val="0"/>
          <w:color w:val="111827"/>
          <w:sz w:val="18"/>
        </w:rPr>
        <w:t>- Finalization of quality gates for release.</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60/100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medium</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r>
        <w:rPr>
          <w:b/>
          <w:color w:val="2E75B6"/>
          <w:sz w:val="18"/>
        </w:rPr>
        <w:t xml:space="preserve">Readiness Score: </w:t>
      </w:r>
      <w:r>
        <w:rPr>
          <w:b w:val="0"/>
          <w:color w:val="111827"/>
          <w:sz w:val="18"/>
        </w:rPr>
        <w:t>Current readiness score is 60, indicating moderate preparedness.</w:t>
      </w:r>
    </w:p>
    <w:p>
      <w:r>
        <w:rPr>
          <w:b/>
          <w:color w:val="2E75B6"/>
          <w:sz w:val="18"/>
        </w:rPr>
        <w:t xml:space="preserve">Risk Tier: </w:t>
      </w:r>
      <w:r>
        <w:rPr>
          <w:b w:val="0"/>
          <w:color w:val="111827"/>
          <w:sz w:val="18"/>
        </w:rPr>
        <w:t>Project is classified under medium risk tier.</w:t>
      </w:r>
    </w:p>
    <w:p>
      <w:pPr>
        <w:pStyle w:val="Heading2"/>
      </w:pPr>
      <w:r>
        <w:t>Recommended Modernization Strategy</w:t>
      </w:r>
    </w:p>
    <w:p>
      <w:r>
        <w:rPr>
          <w:b/>
          <w:color w:val="1F6B75"/>
          <w:sz w:val="20"/>
        </w:rPr>
        <w:t xml:space="preserve">Phased modernization: </w:t>
      </w:r>
      <w:r>
        <w:rPr>
          <w:b w:val="0"/>
          <w:color w:val="111827"/>
          <w:sz w:val="20"/>
        </w:rPr>
        <w:t>Preserve behavior first, then modernize in controlled phases.</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Derived backlog coverage below dynamic threshold (1/3) for discovered scope (0 forms).</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pass=12, warn=4,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12</w:t>
            </w:r>
          </w:p>
        </w:tc>
        <w:tc>
          <w:tcPr>
            <w:tcW w:type="dxa" w:w="1680"/>
          </w:tcPr>
          <w:p>
            <w:r/>
            <w:r>
              <w:rPr>
                <w:b w:val="0"/>
                <w:color w:val="111827"/>
                <w:sz w:val="18"/>
              </w:rPr>
              <w:t>4</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pass=12, warn=4,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0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Rule scope form references resolve against discovered form inventory.</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Mapping current dependencies to plan for controlled replacements.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Detailed examination of forms and modules for migration.</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8"/>
              </w:rPr>
              <w:t>BR-NA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No business rules available</w:t>
            </w:r>
          </w:p>
        </w:tc>
        <w:tc>
          <w:tcPr>
            <w:tcW w:type="dxa" w:w="1680"/>
          </w:tcPr>
          <w:p>
            <w:r/>
            <w:r>
              <w:rPr>
                <w:b w:val="0"/>
                <w:color w:val="111827"/>
                <w:sz w:val="18"/>
              </w:rPr>
              <w:t>none</w:t>
            </w:r>
          </w:p>
        </w:tc>
      </w:tr>
    </w:tbl>
    <w:p>
      <w:r>
        <w:br w:type="page"/>
      </w:r>
    </w:p>
    <w:p>
      <w:pPr>
        <w:pStyle w:val="Heading1"/>
      </w:pPr>
      <w:r>
        <w:t>Section P - Form Flow Traces</w:t>
      </w:r>
    </w:p>
    <w:p>
      <w:r>
        <w:rPr>
          <w:b w:val="0"/>
          <w:color w:val="6B7280"/>
          <w:sz w:val="18"/>
        </w:rPr>
        <w:t>Capturing golden flows to ensure baseline outputs are maintained.</w:t>
      </w:r>
    </w:p>
    <w:p>
      <w:r>
        <w:br w:type="page"/>
      </w:r>
    </w:p>
    <w:p>
      <w:pPr>
        <w:pStyle w:val="Heading1"/>
      </w:pPr>
      <w:r>
        <w:t>Section Q - Form Traceability Matrix</w:t>
      </w:r>
    </w:p>
    <w:p>
      <w:r>
        <w:rPr>
          <w:b w:val="0"/>
          <w:color w:val="6B7280"/>
          <w:sz w:val="18"/>
        </w:rPr>
        <w:t>Ensuring traceability throughout the modernization process.</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Organizing work into sprints for structured progress.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Identifying and managing risks associated with modernization.</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RISK-PARSE-001</w:t>
            </w:r>
          </w:p>
        </w:tc>
        <w:tc>
          <w:tcPr>
            <w:tcW w:type="dxa" w:w="2520"/>
            <w:shd w:val="clear" w:color="auto" w:fill="FEF3C7"/>
          </w:tcPr>
          <w:p>
            <w:r/>
            <w:r>
              <w:rPr>
                <w:b w:val="0"/>
                <w:color w:val="111827"/>
                <w:sz w:val="16"/>
              </w:rPr>
              <w:t>MEDIUM</w:t>
            </w:r>
          </w:p>
        </w:tc>
        <w:tc>
          <w:tcPr>
            <w:tcW w:type="dxa" w:w="2520"/>
          </w:tcPr>
          <w:p>
            <w:r/>
            <w:r>
              <w:rPr>
                <w:b w:val="0"/>
                <w:color w:val="111827"/>
                <w:sz w:val="16"/>
              </w:rPr>
              <w:t>The primary Analyst LLM response could not be parsed into valid JSON, so Synthetix compiled the requirements pack from deterministic evidence instead.</w:t>
            </w:r>
          </w:p>
        </w:tc>
        <w:tc>
          <w:tcPr>
            <w:tcW w:type="dxa" w:w="2520"/>
          </w:tcPr>
          <w:p>
            <w:r/>
            <w:r>
              <w:rPr>
                <w:b w:val="0"/>
                <w:color w:val="111827"/>
                <w:sz w:val="16"/>
              </w:rPr>
              <w:t>Review the generated artifacts and rerun with a stricter output contract if additional narrative depth is required.</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artifact://legacy_inventory/1.0/art_legacy_inventory_4747a9c4a5514d8b</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artifact://repo_landscape/1.0/art_repo_landscape_250d70b9aedf4096</w:t>
            </w:r>
          </w:p>
        </w:tc>
      </w:tr>
      <w:tr>
        <w:tc>
          <w:tcPr>
            <w:tcW w:type="dxa" w:w="5040"/>
          </w:tcPr>
          <w:p>
            <w:r/>
            <w:r>
              <w:rPr>
                <w:b w:val="0"/>
                <w:color w:val="111827"/>
                <w:sz w:val="16"/>
              </w:rPr>
              <w:t>scope_lock_ref</w:t>
            </w:r>
          </w:p>
        </w:tc>
        <w:tc>
          <w:tcPr>
            <w:tcW w:type="dxa" w:w="5040"/>
          </w:tcPr>
          <w:p>
            <w:r/>
            <w:r>
              <w:rPr>
                <w:b w:val="0"/>
                <w:color w:val="111827"/>
                <w:sz w:val="16"/>
              </w:rPr>
              <w:t>artifact://scope_lock/1.0/art_scope_lock_511c7ace6558474a</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artifact://variant_inventory/1.0/art_variant_inventory_432d2b2bdf784885</w:t>
            </w:r>
          </w:p>
        </w:tc>
      </w:tr>
      <w:tr>
        <w:tc>
          <w:tcPr>
            <w:tcW w:type="dxa" w:w="5040"/>
          </w:tcPr>
          <w:p>
            <w:r/>
            <w:r>
              <w:rPr>
                <w:b w:val="0"/>
                <w:color w:val="111827"/>
                <w:sz w:val="16"/>
              </w:rPr>
              <w:t>event_map_ref</w:t>
            </w:r>
          </w:p>
        </w:tc>
        <w:tc>
          <w:tcPr>
            <w:tcW w:type="dxa" w:w="5040"/>
          </w:tcPr>
          <w:p>
            <w:r/>
            <w:r>
              <w:rPr>
                <w:b w:val="0"/>
                <w:color w:val="111827"/>
                <w:sz w:val="16"/>
              </w:rPr>
              <w:t>artifact://event_map/1.0/art_event_map_02b54250ff2747ef</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artifact://sql_catalog/1.0/art_sql_catalog_35fa738a7524489e</w:t>
            </w:r>
          </w:p>
        </w:tc>
      </w:tr>
      <w:tr>
        <w:tc>
          <w:tcPr>
            <w:tcW w:type="dxa" w:w="5040"/>
          </w:tcPr>
          <w:p>
            <w:r/>
            <w:r>
              <w:rPr>
                <w:b w:val="0"/>
                <w:color w:val="111827"/>
                <w:sz w:val="16"/>
              </w:rPr>
              <w:t>sql_map_ref</w:t>
            </w:r>
          </w:p>
        </w:tc>
        <w:tc>
          <w:tcPr>
            <w:tcW w:type="dxa" w:w="5040"/>
          </w:tcPr>
          <w:p>
            <w:r/>
            <w:r>
              <w:rPr>
                <w:b w:val="0"/>
                <w:color w:val="111827"/>
                <w:sz w:val="16"/>
              </w:rPr>
              <w:t>artifact://sql_map/1.0/art_sql_map_165eff20b3dc4979</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artifact://data_access_map/1.0/art_data_access_map_84446199d390438a</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artifact://recordset_ops/1.0/art_recordset_ops_ccc4c530d87a416f</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artifact://procedure_summary/1.0/art_procedure_summary_fa36c0f1e0ba4b07</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artifact://form_dossier/1.0/art_form_dossier_b95530a3a67043bc</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artifact://dependency_inventory/1.0/art_dependency_inventory_d8331ca05abd4c39</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artifact://dependency_inventory/1.0/art_dependency_inventory_d8331ca05abd4c39</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artifact://business_rule_catalog/1.0/art_business_rule_catalog_36a2f8a69df2403f</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artifact://detector_findings/1.0/art_detector_findings_7a81f01d1c6545a2</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artifact://risk_register/1.0/art_risk_register_f2b2b18201f64a93</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artifact://orphan_analysis/1.0/art_orphan_analysis_244749991bc24588</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artifact://delivery_constitution/1.0/art_delivery_constitution_7096ed05c0e140c3</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artifact://variant_diff_report/1.0/art_variant_diff_report_bcdbf78e76b1483d</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artifact://reporting_model/1.0/art_reporting_model_923a04a117234aa9</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artifact://identity_access_model/1.0/art_identity_access_model_b1ac704902d94d0d</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artifact://discover_review_checklist/1.0/art_discover_review_checklist_ffadb70cea624bc6</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artifact://artifact_index/1.0/art_artifact_index_acfb6c1284104167</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runctx://runctx-e6c9631005f1618b/kctx-6c852fcceab50a55</w:t>
            </w:r>
          </w:p>
        </w:tc>
      </w:tr>
      <w:tr>
        <w:tc>
          <w:tcPr>
            <w:tcW w:type="dxa" w:w="5040"/>
          </w:tcPr>
          <w:p>
            <w:r/>
            <w:r>
              <w:rPr>
                <w:b w:val="0"/>
                <w:color w:val="111827"/>
                <w:sz w:val="16"/>
              </w:rPr>
              <w:t>run_delivery_constitution_ref</w:t>
            </w:r>
          </w:p>
        </w:tc>
        <w:tc>
          <w:tcPr>
            <w:tcW w:type="dxa" w:w="5040"/>
          </w:tcPr>
          <w:p>
            <w:r/>
            <w:r>
              <w:rPr>
                <w:b w:val="0"/>
                <w:color w:val="111827"/>
                <w:sz w:val="16"/>
              </w:rPr>
              <w:t>runctx://runctx-e6c9631005f1618b/delivery_constitution/const-3defe5716cbb</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