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- Caching Implementation</w:t>
            </w:r>
          </w:p>
        </w:tc>
      </w:tr>
    </w:tbl>
    <w:p>
      <w:r>
        <w:rPr>
          <w:b/>
          <w:color w:val="1F6B75"/>
          <w:sz w:val="26"/>
        </w:rPr>
        <w:t>MagicBox Modernization - Caching Implementation</w:t>
      </w:r>
    </w:p>
    <w:p>
      <w:r>
        <w:rPr>
          <w:b w:val="0"/>
          <w:color w:val="111827"/>
          <w:sz w:val="20"/>
        </w:rPr>
        <w:t>Modernizing the codebase by implementing caching mechanisms for 10 methods.</w:t>
      </w:r>
    </w:p>
    <w:p>
      <w:r>
        <w:rPr>
          <w:b w:val="0"/>
          <w:color w:val="6B7280"/>
          <w:sz w:val="18"/>
        </w:rPr>
        <w:t>Run 20260513_184210_f3e0f0de  ·  Generated 2026-05-13T18:42:44.301630+00:00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strategy and its phased approach.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modernize the codebase by implementing caching mechanisms for 10 methods, with the UI scaffold disabled.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MagicBox Modernization project aims to enhance the application by integrating caching mechanisms into 10 critical methods. This initiative will follow the Strangler Fig Pattern, ensuring a seamless transition from legacy components to modern equivalents. The project is divided into three phases: establishing baselines, migrating incrementally, and finalizing with quality assurance. Despite a high-risk tier and a readiness score of zero, the project is strategically designed to mitigate risks and ensure a successful modernization.</w:t>
      </w:r>
    </w:p>
    <w:p>
      <w:pPr>
        <w:pStyle w:val="ListParagraph"/>
      </w:pPr>
      <w:r>
        <w:rPr>
          <w:b w:val="0"/>
          <w:color w:val="111827"/>
          <w:sz w:val="18"/>
        </w:rPr>
        <w:t>- Implement caching for 10 methods to modernize the codebase.</w:t>
      </w:r>
    </w:p>
    <w:p>
      <w:pPr>
        <w:pStyle w:val="ListParagraph"/>
      </w:pPr>
      <w:r>
        <w:rPr>
          <w:b w:val="0"/>
          <w:color w:val="111827"/>
          <w:sz w:val="18"/>
        </w:rPr>
        <w:t>- Follow the Strangler Fig Pattern for seamless transition.</w:t>
      </w:r>
    </w:p>
    <w:p>
      <w:pPr>
        <w:pStyle w:val="ListParagraph"/>
      </w:pPr>
      <w:r>
        <w:rPr>
          <w:b w:val="0"/>
          <w:color w:val="111827"/>
          <w:sz w:val="18"/>
        </w:rPr>
        <w:t>- Project divided into three strategic phases.</w:t>
      </w:r>
    </w:p>
    <w:p>
      <w:pPr>
        <w:pStyle w:val="ListParagraph"/>
      </w:pPr>
      <w:r>
        <w:rPr>
          <w:b w:val="0"/>
          <w:color w:val="111827"/>
          <w:sz w:val="18"/>
        </w:rPr>
        <w:t>- High-risk tier with a readiness score of zero.</w:t>
      </w:r>
    </w:p>
    <w:p>
      <w:pPr>
        <w:pStyle w:val="ListParagraph"/>
      </w:pPr>
      <w:r>
        <w:rPr>
          <w:b w:val="0"/>
          <w:color w:val="111827"/>
          <w:sz w:val="18"/>
        </w:rPr>
        <w:t>- Focus on quality assurance and risk mitigation.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High-risk tier identified; strategic controls in place.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Gradually replace legacy components with modern equivalents.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Staffing &amp; Recruitment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Analysis of current dependencies and their modernization impact.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Documentation of forms involved in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Staffing &amp; Recruitment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calculation_logic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Business behavior is enforced through data and calculation logic.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for baseline establishment.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traceability of changes throughout the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plans for incremental migration and testing.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Detailed assessment of risks and mitigation strategies.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Caching may introduce data consistency issues.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cache invalidation strategies.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Performance improvements may not meet expectations.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thorough performance testing.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artifact://legacy_inventory/1.0/art_legacy_inventory_3ca9f677c5ef4724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artifact://repo_landscape/1.0/art_repo_landscape_206c519954234971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artifact://scope_lock/1.0/art_scope_lock_6f28ce89d70f4c74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artifact://variant_inventory/1.0/art_variant_inventory_f19d85a207d942bc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artifact://event_map/1.0/art_event_map_2aa09f2ffdc14a6d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artifact://sql_catalog/1.0/art_sql_catalog_763df1877bed4569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artifact://sql_map/1.0/art_sql_map_43368989135f4391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artifact://data_access_map/1.0/art_data_access_map_6bb162c8f9284d20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artifact://recordset_ops/1.0/art_recordset_ops_9b3f183abc89483f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artifact://procedure_summary/1.0/art_procedure_summary_380fbd2111bc48fb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artifact://form_dossier/1.0/art_form_dossier_31d63f760f8c4c5d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artifact://dependency_inventory/1.0/art_dependency_inventory_71bc3729a16c440f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artifact://dependency_inventory/1.0/art_dependency_inventory_71bc3729a16c440f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artifact://business_rule_catalog/1.0/art_business_rule_catalog_611807836bbc436b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artifact://detector_findings/1.0/art_detector_findings_adb7ab3e12944ffe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artifact://risk_register/1.0/art_risk_register_5c3bc498fa754cf3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artifact://orphan_analysis/1.0/art_orphan_analysis_3f4e948bd064491d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artifact://delivery_constitution/1.0/art_delivery_constitution_602ce0532cf64071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artifact://variant_diff_report/1.0/art_variant_diff_report_4aeb2e19ca394216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artifact://reporting_model/1.0/art_reporting_model_1319151008ee410d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artifact://identity_access_model/1.0/art_identity_access_model_4a14dd4c47e14f1a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artifact://discover_review_checklist/1.0/art_discover_review_checklist_bbeba38ad46d461b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artifact://artifact_index/1.0/art_artifact_index_a3fc67d2538c471b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runctx://runctx-e5aeee92fa248666/kctx-fdd34d7adb047a4e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runctx://runctx-e5aeee92fa248666/delivery_constitution/const-f09268b4a346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