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Legacy Modernization Scope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Legacy Modernization Scope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FR-AUTO-001 — Implement Core Platform Capability workflow contract (P1)</w:t>
      </w:r>
    </w:p>
    <w:p>
      <w:pPr>
        <w:spacing w:after="80" w:before="80"/>
      </w:pPr>
      <w:r>
        <w:rPr>
          <w:sz w:val="22"/>
          <w:szCs w:val="22"/>
        </w:rPr>
        <w:t xml:space="preserve">Implement deterministic workflow behavior for Core Platform Capability with explicit input/output and error contracts.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FR-AUTO-002 — Extend Core Platform Capability workflow — phase 2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2).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FR-AUTO-003 — Extend Core Platform Capability workflow — phase 3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3).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FR-AUTO-004 — Extend Core Platform Capability workflow — phase 4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4).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FR-AUTO-005 — Extend Core Platform Capability workflow — phase 5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5).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Error paths are captured with actionable diagnostics.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Auditability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NFR-AUTO-001: Metric is continuously measured in CI/CD or runtime dashboards.; NFR-AUTO-001: Threshold breach triggers alerting and remediation workflow.; NFR-AUTO-001: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NFR-AUTO-002: Metric is continuously measured in CI/CD or runtime dashboards.; NFR-AUTO-002: Threshold breach triggers alerting and remediation workflow.; NFR-AUTO-002: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parity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NFR-AUTO-003: Metric is continuously measured in CI/CD or runtime dashboards.; NFR-AUTO-003: Threshold breach triggers alerting and remediation workflow.; NFR-AUTO-003: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Operational 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NFR-AUTO-004: Metric is continuously measured in CI/CD or runtime dashboards.; NFR-AUTO-004: Threshold breach triggers alerting and remediation workflow.; NFR-AUTO-004: Compliance evidence is retained for release review.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primary Analyst LLM response could not be parsed into valid JSON, so Synthetix compiled the requirements pack from 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the generated artifacts and rerun with a stricter output contract if additional narrative depth is required.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2026-05-12T21:24:51.271Z</dcterms:created>
  <dcterms:modified xsi:type="dcterms:W3CDTF">2026-05-12T21:24:51.271Z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