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Code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magicbox-code-modernization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Code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better organization and clarity.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ORM capabilities and ease of use.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object-to-object mapping.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Implement ProblemDetails and Result&lt;T&gt; for error handling.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OIDC for secure and scalable authentication.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hybrid extraction mode for accuracy and efficiency.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corrected parity stance to improve code quality.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better organization and clarity.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ORM capabilities and ease of use.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object-to-object mapping.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Implement ProblemDetails and Result&lt;T&gt; for error handling.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OIDC for secure and scalable authentication.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hybrid extraction mode for accuracy and efficiency.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corrected parity stance to improve code quality.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CODE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Azure Monitor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Serilog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[NFR-001·SHOULD] Translation of 1,000 lines of code must complete within 5 minutes. (verified via Load test with varying codebase sizes; measure completion time.)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99.9% monthly availability.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support 1000+ concurrent users without horizontal redesign.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OAuth2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d2e899d5ed87b311cc74c95b86095c5fa9d80ec4e2d4d5b20ab05f3b113a0b0e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0d27a54e4f09235f41a41cd9b5810efdb86fa74e0e03889621722cecc2d0fc66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