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Legacy Modernization Scope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Legacy Modernization Scope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FR-AUTO-001 — Implement Data workflow contract (P1)</w:t>
      </w:r>
    </w:p>
    <w:p>
      <w:pPr>
        <w:spacing w:after="80" w:before="80"/>
      </w:pPr>
      <w:r>
        <w:rPr>
          <w:sz w:val="22"/>
          <w:szCs w:val="22"/>
        </w:rPr>
        <w:t xml:space="preserve">Implement deterministic workflow behavior for Data with explicit input/output and error contracts.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FR-AUTO-002 — Extend Data workflow — phase 2 (P1)</w:t>
      </w:r>
    </w:p>
    <w:p>
      <w:pPr>
        <w:spacing w:after="80" w:before="80"/>
      </w:pPr>
      <w:r>
        <w:rPr>
          <w:sz w:val="22"/>
          <w:szCs w:val="22"/>
        </w:rPr>
        <w:t xml:space="preserve">Extend the Data workflow with additional coverage scenarios (phase 2).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FR-AUTO-003 — Extend Data workflow — phase 3 (P1)</w:t>
      </w:r>
    </w:p>
    <w:p>
      <w:pPr>
        <w:spacing w:after="80" w:before="80"/>
      </w:pPr>
      <w:r>
        <w:rPr>
          <w:sz w:val="22"/>
          <w:szCs w:val="22"/>
        </w:rPr>
        <w:t xml:space="preserve">Extend the Data workflow with additional coverage scenarios (phase 3).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FR-AUTO-004 — Extend Data workflow — phase 4 (P1)</w:t>
      </w:r>
    </w:p>
    <w:p>
      <w:pPr>
        <w:spacing w:after="80" w:before="80"/>
      </w:pPr>
      <w:r>
        <w:rPr>
          <w:sz w:val="22"/>
          <w:szCs w:val="22"/>
        </w:rPr>
        <w:t xml:space="preserve">Extend the Data workflow with additional coverage scenarios (phase 4).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FR-AUTO-005 — Extend Data workflow — phase 5 (P1)</w:t>
      </w:r>
    </w:p>
    <w:p>
      <w:pPr>
        <w:spacing w:after="80" w:before="80"/>
      </w:pPr>
      <w:r>
        <w:rPr>
          <w:sz w:val="22"/>
          <w:szCs w:val="22"/>
        </w:rPr>
        <w:t xml:space="preserve">Extend the Data workflow with additional coverage scenarios (phase 5).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Error paths are captured with actionable diagnostics.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Auditability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NFR-AUTO-001: Metric is continuously measured in CI/CD or runtime dashboards.; NFR-AUTO-001: Threshold breach triggers alerting and remediation workflow.; NFR-AUTO-001: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NFR-AUTO-002: Metric is continuously measured in CI/CD or runtime dashboards.; NFR-AUTO-002: Threshold breach triggers alerting and remediation workflow.; NFR-AUTO-002: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parity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NFR-AUTO-003: Metric is continuously measured in CI/CD or runtime dashboards.; NFR-AUTO-003: Threshold breach triggers alerting and remediation workflow.; NFR-AUTO-003: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Operational 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NFR-AUTO-004: Metric is continuously measured in CI/CD or runtime dashboards.; NFR-AUTO-004: Threshold breach triggers alerting and remediation workflow.; NFR-AUTO-004: Compliance evidence is retained for release review.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primary Analyst LLM response could not be parsed into valid JSON, so Synthetix compiled the requirements pack from 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the generated artifacts and rerun with a stricter output contract if additional narrative depth is required.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2026-05-12T18:56:23.987Z</dcterms:created>
  <dcterms:modified xsi:type="dcterms:W3CDTF">2026-05-12T18:56:23.987Z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