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Kotlin-Spring-Vue to Go Modernization Workbook</w:t>
            </w:r>
          </w:p>
        </w:tc>
      </w:tr>
    </w:tbl>
    <w:p>
      <w:r>
        <w:rPr>
          <w:b/>
          <w:color w:val="1F6B75"/>
          <w:sz w:val="26"/>
        </w:rPr>
        <w:t>Kotlin-Spring-Vue to Go Modernization</w:t>
      </w:r>
    </w:p>
    <w:p>
      <w:r>
        <w:rPr>
          <w:b w:val="0"/>
          <w:color w:val="111827"/>
          <w:sz w:val="20"/>
        </w:rPr>
        <w:t>Guidance for transitioning from a Kotlin-Spring-Vue stack to a Go (chi) architecture.</w:t>
      </w:r>
    </w:p>
    <w:p>
      <w:r>
        <w:rPr>
          <w:b w:val="0"/>
          <w:color w:val="6B7280"/>
          <w:sz w:val="18"/>
        </w:rPr>
        <w:t>Run 20260427_180146_1edf5e09  ·  Generated 2026-04-27T22:02:28.014105+00:00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existing Kotlin-Spring-Vue application to a Go (chi) stack while preserving existing functionality and REST contracts.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This workbook provides a structured approach to modernizing the existing Kotlin-Spring-Vue application to a Go (chi) stack. The objective is to preserve existing functionality and REST contracts while leveraging the Strangler Fig Pattern for a gradual migration. The project is currently at a readiness score of 0, indicating the need for comprehensive planning and execution. The high-risk tier necessitates careful management of dependencies and strategic phase execution.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to Go (chi) stack while preserving functionality.</w:t>
      </w:r>
    </w:p>
    <w:p>
      <w:pPr>
        <w:pStyle w:val="ListParagraph"/>
      </w:pPr>
      <w:r>
        <w:rPr>
          <w:b w:val="0"/>
          <w:color w:val="111827"/>
          <w:sz w:val="18"/>
        </w:rPr>
        <w:t>- Strategy: Employ Strangler Fig Pattern for gradual migration.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0, indicating initial planning stage.</w:t>
      </w:r>
    </w:p>
    <w:p>
      <w:pPr>
        <w:pStyle w:val="ListParagraph"/>
      </w:pPr>
      <w:r>
        <w:rPr>
          <w:b w:val="0"/>
          <w:color w:val="111827"/>
          <w:sz w:val="18"/>
        </w:rPr>
        <w:t>- High-risk tier requires stringent risk management.</w:t>
      </w:r>
    </w:p>
    <w:p>
      <w:pPr>
        <w:pStyle w:val="ListParagraph"/>
      </w:pPr>
      <w:r>
        <w:rPr>
          <w:b w:val="0"/>
          <w:color w:val="111827"/>
          <w:sz w:val="18"/>
        </w:rPr>
        <w:t>- No current inventory of projects, forms, or dependencies.</w:t>
      </w:r>
    </w:p>
    <w:p>
      <w:pPr>
        <w:pStyle w:val="ListParagraph"/>
      </w:pPr>
      <w:r>
        <w:rPr>
          <w:b w:val="0"/>
          <w:color w:val="111827"/>
          <w:sz w:val="18"/>
        </w:rPr>
        <w:t>- Phased approach ensures controlled migration and quality assurance.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0, indicating the need for initial setup.</w:t>
      </w:r>
    </w:p>
    <w:p>
      <w:pPr>
        <w:ind w:left="115"/>
      </w:pPr>
      <w:r>
        <w:rPr>
          <w:b/>
          <w:color w:val="2E75B6"/>
          <w:sz w:val="18"/>
        </w:rPr>
        <w:t xml:space="preserve">Risk Tier: </w:t>
      </w:r>
      <w:r>
        <w:rPr>
          <w:b w:val="0"/>
          <w:color w:val="111827"/>
          <w:sz w:val="18"/>
        </w:rPr>
        <w:t>High-risk tier requires careful dependency management.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for gradual migration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(4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Email processing, User authentication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Identify and manage dependencies critical to the migration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and modules involved in the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functional equivalence.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Maintain traceability of changes to ensure compliance and quality.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for incremental migration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and mitigation strategies for identified risks.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loss of functionality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testing to ensure parity.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Security vulnerabilities introduced during migration.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security audits and penetration testing.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Performance degradation in the Go application.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Optimize Go code and conduct performance benchmarking.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artifact://legacy_inventory/1.0/art_legacy_inventory_07e4eee3e77e43f5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artifact://repo_landscape/1.0/art_repo_landscape_e83b110b04d946ad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artifact://scope_lock/1.0/art_scope_lock_0a0e63558e5b4c6d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artifact://variant_inventory/1.0/art_variant_inventory_a46deb9d9ce64ad2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artifact://event_map/1.0/art_event_map_ff445446241b40a3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artifact://sql_catalog/1.0/art_sql_catalog_ee0c1d6ac72b4171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artifact://sql_map/1.0/art_sql_map_98eab07546724ae0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artifact://data_access_map/1.0/art_data_access_map_f42a02532bf04f14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artifact://recordset_ops/1.0/art_recordset_ops_f8252e1daaa34170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artifact://procedure_summary/1.0/art_procedure_summary_1a24f2489b694177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artifact://form_dossier/1.0/art_form_dossier_438a1f0d574747cc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artifact://dependency_inventory/1.0/art_dependency_inventory_a9f9f4e6317d4868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artifact://dependency_inventory/1.0/art_dependency_inventory_a9f9f4e6317d4868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artifact://business_rule_catalog/1.0/art_business_rule_catalog_addaa3d6b4c24310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artifact://detector_findings/1.0/art_detector_findings_40af7df8c80a4b0d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artifact://risk_register/1.0/art_risk_register_9ecb5572a3994c6e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artifact://orphan_analysis/1.0/art_orphan_analysis_c9ddf3ea8d51446b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artifact://delivery_constitution/1.0/art_delivery_constitution_069b886110654b54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artifact://variant_diff_report/1.0/art_variant_diff_report_96eca4a6c1664770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artifact://reporting_model/1.0/art_reporting_model_98996777deb54d41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artifact://identity_access_model/1.0/art_identity_access_model_e6baad88ab53473e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artifact://discover_review_checklist/1.0/art_discover_review_checklist_3ff660a94dfd438a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artifact://artifact_index/1.0/art_artifact_index_d0de71aeee904058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runctx://runctx-9854918569ac4e55/kctx-693f39aa1367f03c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runctx://runctx-9854918569ac4e55/delivery_constitution/const-91f3d6881c39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