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129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better structure and testability.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its rich feature set and integration with .NET.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its ease of use and community support.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ProblemDetails and Result&lt;T&gt; for standardized error handling.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JWT for its statelessness and scalability.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hybrid extraction mode for accuracy and efficiency.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corrected parity stance to improve system reliability.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 and simplicity.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better structure and testability.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its rich feature set and integration with .NET.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its ease of use and community support.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Adopt ProblemDetails and Result&lt;T&gt; for standardized error handling.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Use JWT for its statelessness and scalability.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hybrid extraction mode for accuracy and efficiency.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corrected parity stance to improve system reliability.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 and simplicity.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no explicitly owned entities yet.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no explicitly owned entities yet.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no explicitly owned entities yet.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no explicitly owned entities yet.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no explicitly owned entities yet.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no explicitly owned entities yet.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129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Prometheus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ELK Stack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[NFR-001·SHOULD] Scaffold generation completes within 5 seconds per macro. (verified via Load test scaffold generation at 10× expected load; measure completion time.)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99.9% monthly availability.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[NFR-003·SHOULD] Scaffold generation scales to handle 100 concurrent requests. (verified via Load test with 100 concurrent requests; measure performance metrics.)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[NFR-002·MUST] No security vulnerabilities in the scaffold generation process. (verified via Conduct SAST and pre-prod pen test on scaffold generation code.)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[NFR-005·SHOULD] Verification process completes within 2 minutes and is intuitive. (verified via Conduct user testing and gather feedback on verification process usability.)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2ca49f6ee446ba1e39c913b5b2cd1a24527803f9abd5cd9c7ccce48b04f86250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90fb4970bbd91f5bb5e7ffbe2470571bcb898cd191e4f09118493f794bb069d9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