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Code Modernization Workbook</w:t>
            </w:r>
          </w:p>
        </w:tc>
      </w:tr>
    </w:tbl>
    <w:p>
      <w:r>
        <w:rPr>
          <w:b/>
          <w:color w:val="1F6B75"/>
          <w:sz w:val="26"/>
        </w:rPr>
        <w:t>MagicBox Code Modernization</w:t>
      </w:r>
    </w:p>
    <w:p>
      <w:r>
        <w:rPr>
          <w:b w:val="0"/>
          <w:color w:val="111827"/>
          <w:sz w:val="20"/>
        </w:rPr>
        <w:t>A strategic guide to modernizing MagicBox components with controlled translation and remediation.</w:t>
      </w:r>
    </w:p>
    <w:p>
      <w:r>
        <w:rPr>
          <w:b w:val="0"/>
          <w:color w:val="6B7280"/>
          <w:sz w:val="18"/>
        </w:rPr>
        <w:t>Run 20260515_175600_a92a6b1e  ·  Generated 2026-05-15T21:56:33.759445+00:00  ·  Repo Synthetix</w:t>
      </w:r>
    </w:p>
    <w:p/>
    <w:p>
      <w:pPr>
        <w:pStyle w:val="Heading1"/>
      </w:pPr>
      <w:r>
        <w:t>Executive Snapshot</w:t>
      </w:r>
    </w:p>
    <w:p>
      <w:r>
        <w:rPr>
          <w:b w:val="0"/>
          <w:color w:val="6B7280"/>
          <w:sz w:val="18"/>
        </w:rPr>
        <w:t>Overview of the MagicBox modernization strategy and objectives.</w:t>
      </w:r>
    </w:p>
    <w:p>
      <w:r>
        <w:rPr>
          <w:b/>
          <w:color w:val="2E75B6"/>
          <w:sz w:val="20"/>
        </w:rPr>
        <w:t xml:space="preserve">Objective: </w:t>
      </w:r>
      <w:r>
        <w:rPr>
          <w:b w:val="0"/>
          <w:color w:val="111827"/>
          <w:sz w:val="20"/>
        </w:rPr>
        <w:t>The objective is to verify that ECA intake_documents flow into Architect, DP, UI-Scaffold, and Translator components, translating 15 methods across selected components without module filtering.</w:t>
      </w:r>
    </w:p>
    <w:p>
      <w:r>
        <w:rPr>
          <w:b/>
          <w:color w:val="2E75B6"/>
          <w:sz w:val="20"/>
        </w:rPr>
        <w:t xml:space="preserve">Summary: </w:t>
      </w:r>
      <w:r>
        <w:rPr>
          <w:b w:val="0"/>
          <w:color w:val="111827"/>
          <w:sz w:val="20"/>
        </w:rPr>
        <w:t>Full upgrade / translation + remediation recommended.</w:t>
      </w:r>
    </w:p>
    <w:p>
      <w:r>
        <w:rPr>
          <w:b w:val="0"/>
          <w:color w:val="111827"/>
          <w:sz w:val="20"/>
        </w:rPr>
        <w:t>The MagicBox Code Modernization project aims to ensure that ECA intake_documents seamlessly flow into Architect, DP, UI-Scaffold, and Translator components. This involves translating 15 methods across selected components without module filtering. The strategy involves a full upgrade and translation with remediation, supported by equivalence testing. The readiness score is 45, and the risk tier is medium. The project will proceed through phases of baseline capture, incremental migration, and final hardening to ensure quality and compliance.</w:t>
      </w:r>
    </w:p>
    <w:p>
      <w:pPr>
        <w:pStyle w:val="ListParagraph"/>
      </w:pPr>
      <w:r>
        <w:rPr>
          <w:b w:val="0"/>
          <w:color w:val="111827"/>
          <w:sz w:val="18"/>
        </w:rPr>
        <w:t>- Objective: Verify ECA intake_documents flow into key components.</w:t>
      </w:r>
    </w:p>
    <w:p>
      <w:pPr>
        <w:pStyle w:val="ListParagraph"/>
      </w:pPr>
      <w:r>
        <w:rPr>
          <w:b w:val="0"/>
          <w:color w:val="111827"/>
          <w:sz w:val="18"/>
        </w:rPr>
        <w:t>- Translate 15 methods without module filtering.</w:t>
      </w:r>
    </w:p>
    <w:p>
      <w:pPr>
        <w:pStyle w:val="ListParagraph"/>
      </w:pPr>
      <w:r>
        <w:rPr>
          <w:b w:val="0"/>
          <w:color w:val="111827"/>
          <w:sz w:val="18"/>
        </w:rPr>
        <w:t>- Strategy: Full upgrade with remediation and testing.</w:t>
      </w:r>
    </w:p>
    <w:p>
      <w:pPr>
        <w:pStyle w:val="ListParagraph"/>
      </w:pPr>
      <w:r>
        <w:rPr>
          <w:b w:val="0"/>
          <w:color w:val="111827"/>
          <w:sz w:val="18"/>
        </w:rPr>
        <w:t>- Readiness score is 45; risk tier is medium.</w:t>
      </w:r>
    </w:p>
    <w:p>
      <w:pPr>
        <w:pStyle w:val="ListParagraph"/>
      </w:pPr>
      <w:r>
        <w:rPr>
          <w:b w:val="0"/>
          <w:color w:val="111827"/>
          <w:sz w:val="18"/>
        </w:rPr>
        <w:t>- Phases include baseline capture, migration, and hardening.</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45/100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Score: </w:t>
      </w:r>
      <w:r>
        <w:rPr>
          <w:b w:val="0"/>
          <w:color w:val="111827"/>
          <w:sz w:val="18"/>
        </w:rPr>
        <w:t>Current readiness score is 45, indicating moderate preparedness.</w:t>
      </w:r>
    </w:p>
    <w:p>
      <w:pPr>
        <w:pStyle w:val="Heading2"/>
      </w:pPr>
      <w:r>
        <w:t>Recommended Modernization Strategy</w:t>
      </w:r>
    </w:p>
    <w:p>
      <w:r>
        <w:rPr>
          <w:b/>
          <w:color w:val="1F6B75"/>
          <w:sz w:val="20"/>
        </w:rPr>
        <w:t xml:space="preserve">Full upgrade / translation + remediation: </w:t>
      </w:r>
      <w:r>
        <w:rPr>
          <w:b w:val="0"/>
          <w:color w:val="111827"/>
          <w:sz w:val="20"/>
        </w:rPr>
        <w:t>Controlled translation with remediation and equivalence testing is viable.</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Contractor placement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dependencies to ensure seamless integration and risk control.</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Details on form migration and method translation processes.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Contractor placement</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Placements must be approved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analyze golden flows for baseline outputs.</w:t>
      </w:r>
    </w:p>
    <w:p>
      <w:r>
        <w:br w:type="page"/>
      </w:r>
    </w:p>
    <w:p>
      <w:pPr>
        <w:pStyle w:val="Heading1"/>
      </w:pPr>
      <w:r>
        <w:t>Section Q - Form Traceability Matrix</w:t>
      </w:r>
    </w:p>
    <w:p>
      <w:r>
        <w:rPr>
          <w:b w:val="0"/>
          <w:color w:val="6B7280"/>
          <w:sz w:val="18"/>
        </w:rPr>
        <w:t>Ensure traceability across components during modernization.</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sprints for incremental migration and testing.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of risks associated with the modernization project.</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F3C7"/>
          </w:tcPr>
          <w:p>
            <w:r/>
            <w:r>
              <w:rPr>
                <w:b w:val="0"/>
                <w:color w:val="111827"/>
                <w:sz w:val="16"/>
              </w:rPr>
              <w:t>MEDIUM</w:t>
            </w:r>
          </w:p>
        </w:tc>
        <w:tc>
          <w:tcPr>
            <w:tcW w:type="dxa" w:w="2520"/>
          </w:tcPr>
          <w:p>
            <w:r/>
            <w:r>
              <w:rPr>
                <w:b w:val="0"/>
                <w:color w:val="111827"/>
                <w:sz w:val="16"/>
              </w:rPr>
              <w:t>Potential for integration issues during translation.</w:t>
            </w:r>
          </w:p>
        </w:tc>
        <w:tc>
          <w:tcPr>
            <w:tcW w:type="dxa" w:w="2520"/>
          </w:tcPr>
          <w:p>
            <w:r/>
            <w:r>
              <w:rPr>
                <w:b w:val="0"/>
                <w:color w:val="111827"/>
                <w:sz w:val="16"/>
              </w:rPr>
              <w:t>Conduct thorough integration testing post-translation.</w:t>
            </w:r>
          </w:p>
        </w:tc>
      </w:tr>
      <w:tr>
        <w:tc>
          <w:tcPr>
            <w:tcW w:type="dxa" w:w="2520"/>
            <w:shd w:val="clear" w:color="auto" w:fill="F3F4F6"/>
          </w:tcPr>
          <w:p>
            <w:r/>
            <w:r>
              <w:rPr>
                <w:b w:val="0"/>
                <w:color w:val="111827"/>
                <w:sz w:val="16"/>
              </w:rPr>
              <w:t>RISK-2</w:t>
            </w:r>
          </w:p>
        </w:tc>
        <w:tc>
          <w:tcPr>
            <w:tcW w:type="dxa" w:w="2520"/>
            <w:shd w:val="clear" w:color="auto" w:fill="F3F4F6"/>
            <w:shd w:val="clear" w:color="auto" w:fill="FEE2E2"/>
          </w:tcPr>
          <w:p>
            <w:r/>
            <w:r>
              <w:rPr>
                <w:b w:val="0"/>
                <w:color w:val="111827"/>
                <w:sz w:val="16"/>
              </w:rPr>
              <w:t>HIGH</w:t>
            </w:r>
          </w:p>
        </w:tc>
        <w:tc>
          <w:tcPr>
            <w:tcW w:type="dxa" w:w="2520"/>
            <w:shd w:val="clear" w:color="auto" w:fill="F3F4F6"/>
          </w:tcPr>
          <w:p>
            <w:r/>
            <w:r>
              <w:rPr>
                <w:b w:val="0"/>
                <w:color w:val="111827"/>
                <w:sz w:val="16"/>
              </w:rPr>
              <w:t>Security vulnerabilities may be introduced during translation.</w:t>
            </w:r>
          </w:p>
        </w:tc>
        <w:tc>
          <w:tcPr>
            <w:tcW w:type="dxa" w:w="2520"/>
            <w:shd w:val="clear" w:color="auto" w:fill="F3F4F6"/>
          </w:tcPr>
          <w:p>
            <w:r/>
            <w:r>
              <w:rPr>
                <w:b w:val="0"/>
                <w:color w:val="111827"/>
                <w:sz w:val="16"/>
              </w:rPr>
              <w:t>Perform security audits and SAST scans.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artifact://legacy_inventory/1.0/art_legacy_inventory_1ca7525881ca4e96</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artifact://repo_landscape/1.0/art_repo_landscape_f7772a16098f43a1</w:t>
            </w:r>
          </w:p>
        </w:tc>
      </w:tr>
      <w:tr>
        <w:tc>
          <w:tcPr>
            <w:tcW w:type="dxa" w:w="5040"/>
          </w:tcPr>
          <w:p>
            <w:r/>
            <w:r>
              <w:rPr>
                <w:b w:val="0"/>
                <w:color w:val="111827"/>
                <w:sz w:val="16"/>
              </w:rPr>
              <w:t>scope_lock_ref</w:t>
            </w:r>
          </w:p>
        </w:tc>
        <w:tc>
          <w:tcPr>
            <w:tcW w:type="dxa" w:w="5040"/>
          </w:tcPr>
          <w:p>
            <w:r/>
            <w:r>
              <w:rPr>
                <w:b w:val="0"/>
                <w:color w:val="111827"/>
                <w:sz w:val="16"/>
              </w:rPr>
              <w:t>artifact://scope_lock/1.0/art_scope_lock_ed30fde057234b5f</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artifact://variant_inventory/1.0/art_variant_inventory_c2ab8de8dc354e71</w:t>
            </w:r>
          </w:p>
        </w:tc>
      </w:tr>
      <w:tr>
        <w:tc>
          <w:tcPr>
            <w:tcW w:type="dxa" w:w="5040"/>
          </w:tcPr>
          <w:p>
            <w:r/>
            <w:r>
              <w:rPr>
                <w:b w:val="0"/>
                <w:color w:val="111827"/>
                <w:sz w:val="16"/>
              </w:rPr>
              <w:t>event_map_ref</w:t>
            </w:r>
          </w:p>
        </w:tc>
        <w:tc>
          <w:tcPr>
            <w:tcW w:type="dxa" w:w="5040"/>
          </w:tcPr>
          <w:p>
            <w:r/>
            <w:r>
              <w:rPr>
                <w:b w:val="0"/>
                <w:color w:val="111827"/>
                <w:sz w:val="16"/>
              </w:rPr>
              <w:t>artifact://event_map/1.0/art_event_map_f1e527fb5cf645ed</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artifact://sql_catalog/1.0/art_sql_catalog_f3dcc919921b4272</w:t>
            </w:r>
          </w:p>
        </w:tc>
      </w:tr>
      <w:tr>
        <w:tc>
          <w:tcPr>
            <w:tcW w:type="dxa" w:w="5040"/>
          </w:tcPr>
          <w:p>
            <w:r/>
            <w:r>
              <w:rPr>
                <w:b w:val="0"/>
                <w:color w:val="111827"/>
                <w:sz w:val="16"/>
              </w:rPr>
              <w:t>sql_map_ref</w:t>
            </w:r>
          </w:p>
        </w:tc>
        <w:tc>
          <w:tcPr>
            <w:tcW w:type="dxa" w:w="5040"/>
          </w:tcPr>
          <w:p>
            <w:r/>
            <w:r>
              <w:rPr>
                <w:b w:val="0"/>
                <w:color w:val="111827"/>
                <w:sz w:val="16"/>
              </w:rPr>
              <w:t>artifact://sql_map/1.0/art_sql_map_6ea0850a6abc41a1</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artifact://data_access_map/1.0/art_data_access_map_2faf8a0e345c40e0</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artifact://recordset_ops/1.0/art_recordset_ops_1f13c392cc2944b5</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artifact://procedure_summary/1.0/art_procedure_summary_9aaeb26b277649b6</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artifact://form_dossier/1.0/art_form_dossier_0f4f6f683e8d4c15</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artifact://dependency_inventory/1.0/art_dependency_inventory_dcc13aef859b4198</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artifact://dependency_inventory/1.0/art_dependency_inventory_dcc13aef859b4198</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artifact://business_rule_catalog/1.0/art_business_rule_catalog_3f5260ae8e724962</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artifact://detector_findings/1.0/art_detector_findings_45ef46a6bf104b47</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artifact://risk_register/1.0/art_risk_register_4d01c4b0e0084bcc</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artifact://orphan_analysis/1.0/art_orphan_analysis_d893d1e56374488a</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artifact://delivery_constitution/1.0/art_delivery_constitution_f2e6e5de4ada465e</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artifact://variant_diff_report/1.0/art_variant_diff_report_e4dfd51d515e431f</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artifact://reporting_model/1.0/art_reporting_model_32ae6cb109d048f4</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artifact://identity_access_model/1.0/art_identity_access_model_15ae41f7302344f2</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artifact://discover_review_checklist/1.0/art_discover_review_checklist_ff5345270b5f4805</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artifact://artifact_index/1.0/art_artifact_index_3ae15bc9a93e45b0</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runctx://runctx-6e284a64b39d8d34/kctx-6c852fcceab50a55</w:t>
            </w:r>
          </w:p>
        </w:tc>
      </w:tr>
      <w:tr>
        <w:tc>
          <w:tcPr>
            <w:tcW w:type="dxa" w:w="5040"/>
          </w:tcPr>
          <w:p>
            <w:r/>
            <w:r>
              <w:rPr>
                <w:b w:val="0"/>
                <w:color w:val="111827"/>
                <w:sz w:val="16"/>
              </w:rPr>
              <w:t>run_delivery_constitution_ref</w:t>
            </w:r>
          </w:p>
        </w:tc>
        <w:tc>
          <w:tcPr>
            <w:tcW w:type="dxa" w:w="5040"/>
          </w:tcPr>
          <w:p>
            <w:r/>
            <w:r>
              <w:rPr>
                <w:b w:val="0"/>
                <w:color w:val="111827"/>
                <w:sz w:val="16"/>
              </w:rPr>
              <w:t>runctx://runctx-6e284a64b39d8d34/delivery_constitution/const-f86df0b9fc38</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