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Kotlin JVM + Vue Full-Stack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Technical Workbook</w:t>
      </w:r>
    </w:p>
    <w:p>
      <w:pPr>
        <w:pBdr>
          <w:bottom w:val="single" w:color="334155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Developer Reference — Migration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2026-04-23   ·   Repo: Synthetix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Internal — Engineering Use Only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Index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Linked index for quick navigation across workbook sections.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Project Inventory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Current technical analysis covers 11,611 LOC across 58 files in the selected PHP scope. Unless the scope lock explicitly states full-repository coverage, this workbook should be treated as the current analyzed slice rather than the entire application.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Project variants analysed from the repository. Member counts include forms and modules. Source LOC scanned: 11,611 (forms: 0, modules: 0, classes: 0, designers: 0) across 58 files. Forms are shown as mapped/discovered to expose excluded/unresolved form files.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1200"/>
        <w:gridCol w:w="800"/>
        <w:gridCol w:w="1300"/>
        <w:gridCol w:w="700"/>
        <w:gridCol w:w="900"/>
        <w:gridCol w:w="1100"/>
        <w:gridCol w:w="13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Startup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Members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Forms (Mapped/Discovered)</w:t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LOC</w:t>
            </w:r>
          </w:p>
        </w:tc>
        <w:tc>
          <w:tcPr>
            <w:tcW w:type="dxa" w:w="1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Tables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Sweet Bank — Kotlin / Android Modernization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8"/>
                <w:szCs w:val="18"/>
              </w:rPr>
              <w:t xml:space="preserve">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Static Forensics Addendum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Static forensics signals summarize code-only findings that support discovery, including source database clues, connection-string variants, dead-form references, global module state, and related static evidence.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Deterministic static-analysis outputs from Discover used to support schema archaeology, traceability, and migration planning.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MDB / Access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MDB/ACCDB files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Connection String Variants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connection-string variants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Module Global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inferred module globals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Dead Form References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unresolved form references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DataEnvironment / Report Mapping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DataEnvironment/report mappings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Static Risk Detectors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static detector findings emitted.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Form and Dependency Inventory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Active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Active forms are the canonical in-scope form members associated with the resolved project set. Use this table as the authoritative form/file inventory for the technical workbook.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active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Orphan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Orphan forms were discovered in the repository but are not active project members for the analyzed build. They are retained here for technical review only.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orphan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K-Tech Technical Matrix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Technical matrix for active forms only: form type, ActiveX usage, DB tables, action count, and coverage/confidence.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600"/>
        <w:gridCol w:w="1800"/>
        <w:gridCol w:w="1400"/>
        <w:gridCol w:w="600"/>
        <w:gridCol w:w="1440"/>
      </w:tblGrid>
      <w:tr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 Dependencies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Tables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Cov%</w:t>
            </w:r>
          </w:p>
        </w:tc>
        <w:tc>
          <w:tcPr>
            <w:tcW w:type="dxa" w:w="1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root (Sweet Bank — Kotlin / Android Modernization)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6"/>
                <w:szCs w:val="16"/>
              </w:rPr>
              <w:t xml:space="preserve">kotlin_build_module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25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0.85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support (Sweet Bank — Kotlin / Android Modernization)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6"/>
                <w:szCs w:val="16"/>
              </w:rPr>
              <w:t xml:space="preserve">kotlin_android_module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13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0.85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External Dependencies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external dependencies (OCX, DLL, COM references) discovered across projects. GUID is used for COM registration lookup. Migration action indicates recommended replacement strategy.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2200"/>
        <w:gridCol w:w="2200"/>
        <w:gridCol w:w="900"/>
        <w:gridCol w:w="20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GUID / Reference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 Forms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SQL Catalog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SQL operations discovered in source code, indexed by form and handler. Operations classified by type (SELECT/INSERT/UPDATE/DELETE). Basis for data access layer design in the migrated system.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SQL operations detected.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Form Flow Traces (P)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Per-form callable trace: each event handler and procedure with its kind, triggering event, ActiveX dependency, SQL operations executed, and table touchpoints. TRACE_GAP = the tool found a likely callable/flow context, but deterministic evidence was insufficient to prove the full SQL/table lineage. It does not mean the flow is absent; it means traceability remains incomplete and requires review.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Dependency Map (O)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Inter-form navigation links, shared module calls, and cross-variant schema conflicts used for technical dependency analysis and sequencing.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Navigation Links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navigation links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Shared Module Calls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shared module calls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Cross-Variant Schema Conflicts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cross-variant schema conflicts detected.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Risk Register — Technical Detail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risks flagged during analysis. Engineering team to review and confirm remediation approach for each. High severity items are hard blockers for production go-live.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240"/>
        <w:gridCol w:w="2500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Technical Description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Detector Findings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Automated detector findings from the analysis platform — patterns flagged for engineering review.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7340"/>
          <w:sz w:val="18"/>
          <w:szCs w:val="18"/>
        </w:rPr>
        <w:t xml:space="preserve">No detector findings recorded.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Data Validation Details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Field-level validation details inferred from active-form inputs and business-rule signals. These details define expected format, mandatory checks, and acceptable values where evidence exists.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1700"/>
        <w:gridCol w:w="1800"/>
        <w:gridCol w:w="2500"/>
        <w:gridCol w:w="2640"/>
      </w:tblGrid>
      <w:tr>
        <w:trPr>
          <w:tblHeader/>
        </w:trPr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Acceptable Values / Criteria</w:t>
            </w:r>
          </w:p>
        </w:tc>
        <w:tc>
          <w:tcPr>
            <w:tcW w:type="dxa" w:w="26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Root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Inputs from upstream consumers within the Sweet Bank Android app.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Numeric validation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Digits only; mandatory when submitting the workflow.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Inputs: Inputs from upstream consumers within the Sweet Bank Android app.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Support Artifacts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Inputs from upstream consumers within the Sweet Bank Android app.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Numeric validation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Digits only; mandatory when submitting the workflow.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Inputs: Inputs from upstream consumers within the Sweet Bank Android app.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Data Security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Business and technical security controls that must be preserved or strengthened in the migrated solution, including data access protection and credential handling.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explicit application-layer security controls were extracted. Preserve current data protections and validate encryption, credential handling, and database access controls during target design.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11. Third-Party Integration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Third-party components and local data-store integrations discovered in the legacy solution. This section documents APIs, OCX/DLL dependencies, and MDB-related exchange surfaces where present.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third-party components or explicit external integration surfaces were extracted beyond intrinsic VB runtime behavior.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12. UI Control Coverage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Observed selection/list controls and UI-input coverage inferred from the legacy form inventory. This is intended to highlight business-critical combobox/list inputs that must be preserved in the target UX.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raw selection/list controls were recovered from the current MD. If combobox/list values are business-critical, confirm them from the legacy form designers before migration.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Internal — Engineering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Kotlin JVM + Vue Full-Stack Modernization BRD — Technical Workbook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Synthetix AI Platform —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2026-04-23T15:18:10.878Z</dcterms:created>
  <dcterms:modified xsi:type="dcterms:W3CDTF">2026-04-23T15:18:10.878Z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