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Legacy Modernization Scope - Phased Migration Strategy</w:t>
            </w:r>
          </w:p>
        </w:tc>
      </w:tr>
    </w:tbl>
    <w:p>
      <w:r>
        <w:rPr>
          <w:b/>
          <w:color w:val="1F6B75"/>
          <w:sz w:val="26"/>
        </w:rPr>
        <w:t>Legacy Modernization Scope</w:t>
      </w:r>
    </w:p>
    <w:p>
      <w:r>
        <w:rPr>
          <w:b w:val="0"/>
          <w:color w:val="111827"/>
          <w:sz w:val="20"/>
        </w:rPr>
        <w:t>Contractor increment focusing on legacy code verification and language hardening with controlled risk management</w:t>
      </w:r>
    </w:p>
    <w:p>
      <w:r>
        <w:rPr>
          <w:b w:val="0"/>
          <w:color w:val="6B7280"/>
          <w:sz w:val="18"/>
        </w:rPr>
        <w:t>Run 20260512_210416_83da2bde  ·  Generated 2026-05-12T21:05:36.924583+00:00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three-phase modernization strategy with current 60% readiness score and medium risk classification for legacy system transformation.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Kick increment Contractor (skip UI Scaffold) — verify legacy_code seed + language hardening.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modernization recommended.</w:t>
      </w:r>
    </w:p>
    <w:p>
      <w:r>
        <w:rPr>
          <w:b w:val="0"/>
          <w:color w:val="111827"/>
          <w:sz w:val="20"/>
        </w:rPr>
        <w:t>This modernization initiative targets legacy system transformation through a three-phase approach prioritizing behavioral preservation and controlled migration. Phase 0 establishes baseline equivalence harnesses to capture golden flows and outputs. Phase 1 executes incremental migration with dependency risk controls, systematically replacing legacy components while maintaining system integrity. Phase 2 focuses on hardening activities and release evidence compilation. With a current readiness score of 60% and medium risk tier classification, the project emphasizes verification of legacy code seeds and language hardening over UI scaffolding to ensure robust foundation before interface modernization.</w:t>
      </w:r>
    </w:p>
    <w:p>
      <w:pPr>
        <w:pStyle w:val="ListParagraph"/>
      </w:pPr>
      <w:r>
        <w:rPr>
          <w:b w:val="0"/>
          <w:color w:val="111827"/>
          <w:sz w:val="18"/>
        </w:rPr>
        <w:t>- Three-phase modernization strategy prioritizes behavioral preservation before system enhancement</w:t>
      </w:r>
    </w:p>
    <w:p>
      <w:pPr>
        <w:pStyle w:val="ListParagraph"/>
      </w:pPr>
      <w:r>
        <w:rPr>
          <w:b w:val="0"/>
          <w:color w:val="111827"/>
          <w:sz w:val="18"/>
        </w:rPr>
        <w:t>- Current readiness score of 60% with medium risk tier requires controlled migration approach</w:t>
      </w:r>
    </w:p>
    <w:p>
      <w:pPr>
        <w:pStyle w:val="ListParagraph"/>
      </w:pPr>
      <w:r>
        <w:rPr>
          <w:b w:val="0"/>
          <w:color w:val="111827"/>
          <w:sz w:val="18"/>
        </w:rPr>
        <w:t>- Phase 0 focuses on baseline capture and golden flow documentation for equivalence verification</w:t>
      </w:r>
    </w:p>
    <w:p>
      <w:pPr>
        <w:pStyle w:val="ListParagraph"/>
      </w:pPr>
      <w:r>
        <w:rPr>
          <w:b w:val="0"/>
          <w:color w:val="111827"/>
          <w:sz w:val="18"/>
        </w:rPr>
        <w:t>- Incremental migration in Phase 1 includes dependency replacement with integrated risk controls</w:t>
      </w:r>
    </w:p>
    <w:p>
      <w:pPr>
        <w:pStyle w:val="ListParagraph"/>
      </w:pPr>
      <w:r>
        <w:rPr>
          <w:b w:val="0"/>
          <w:color w:val="111827"/>
          <w:sz w:val="18"/>
        </w:rPr>
        <w:t>- Final phase emphasizes quality gates and comprehensive release evidence documentation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60/100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Gap: </w:t>
      </w:r>
      <w:r>
        <w:rPr>
          <w:b w:val="0"/>
          <w:color w:val="111827"/>
          <w:sz w:val="18"/>
        </w:rPr>
        <w:t>Current 60% readiness score indicates preparation work needed before full migration execution</w:t>
      </w:r>
    </w:p>
    <w:p>
      <w:r>
        <w:rPr>
          <w:b/>
          <w:color w:val="2E75B6"/>
          <w:sz w:val="18"/>
        </w:rPr>
        <w:t xml:space="preserve">UI Scope: </w:t>
      </w:r>
      <w:r>
        <w:rPr>
          <w:b w:val="0"/>
          <w:color w:val="111827"/>
          <w:sz w:val="18"/>
        </w:rPr>
        <w:t>UI scaffolding explicitly excluded from current increment to focus on backend verification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modernization: </w:t>
      </w:r>
      <w:r>
        <w:rPr>
          <w:b w:val="0"/>
          <w:color w:val="111827"/>
          <w:sz w:val="20"/>
        </w:rPr>
        <w:t>Preserve behavior first, then modernize in controlled phases.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12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pass=12, warn=4,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0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Rule scope form references resolve against discovered form inventory.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Analysis of system dependencies and risk controls required for incremental migration phases with focus on legacy code verification.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Documentation templates for capturing form structures and behaviors during baseline establishment and migration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BR-NA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 business rules available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Golden flow capture methodology and traceability frameworks for maintaining behavioral equivalence throughout modernization.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End-to-end tracking mechanisms linking legacy components to modernized equivalents across all three transformation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Sprint planning framework aligned with phased approach, emphasizing baseline capture, incremental migration, and hardening activities.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Medium-tier risk assessment and mitigation strategies for dependency replacement and language hardening throughout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RISK-PARSE-001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The primary Analyst LLM response could not be parsed into valid JSON, so Synthetix compiled the requirements pack from deterministic evidence instead.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Review the generated artifacts and rerun with a stricter output contract if additional narrative depth is required.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artifact://legacy_inventory/1.0/art_legacy_inventory_371d54a5c1e34fe2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artifact://repo_landscape/1.0/art_repo_landscape_b6e51ec1897e4f45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artifact://scope_lock/1.0/art_scope_lock_bd70f867f5e94b66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artifact://variant_inventory/1.0/art_variant_inventory_0407bbe5263640d8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artifact://event_map/1.0/art_event_map_db9b55ec6d36434e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artifact://sql_catalog/1.0/art_sql_catalog_558bd2d51913407e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artifact://sql_map/1.0/art_sql_map_73eab81be0344538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artifact://data_access_map/1.0/art_data_access_map_274797785d0e4280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artifact://recordset_ops/1.0/art_recordset_ops_f9ae376657594dd9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artifact://procedure_summary/1.0/art_procedure_summary_7659d0e0ddcd48d1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artifact://form_dossier/1.0/art_form_dossier_3f242527cb5347b3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artifact://dependency_inventory/1.0/art_dependency_inventory_4058d9457f4a4bbc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artifact://dependency_inventory/1.0/art_dependency_inventory_4058d9457f4a4bbc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artifact://business_rule_catalog/1.0/art_business_rule_catalog_cdd05ef5fc9a4559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artifact://detector_findings/1.0/art_detector_findings_066d51f3c6cc4b2e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artifact://risk_register/1.0/art_risk_register_b738dce606074b7e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artifact://orphan_analysis/1.0/art_orphan_analysis_4fc8c212e4eb40a6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artifact://delivery_constitution/1.0/art_delivery_constitution_858d5fbbc8b14465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artifact://variant_diff_report/1.0/art_variant_diff_report_454afe1a0f504e59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artifact://reporting_model/1.0/art_reporting_model_b6b3713c2434494b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artifact://identity_access_model/1.0/art_identity_access_model_35e8facf7b8248b2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artifact://discover_review_checklist/1.0/art_discover_review_checklist_185def50dbfb44ea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artifact://artifact_index/1.0/art_artifact_index_b56f20aaa76c43f0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runctx://runctx-acdbbcf56824b620/kctx-0f4b7e7e4cb3a338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runctx://runctx-acdbbcf56824b620/delivery_constitution/const-e87e1c52701a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