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Code Modernization Workbook</w:t>
            </w:r>
          </w:p>
        </w:tc>
      </w:tr>
    </w:tbl>
    <w:p>
      <w:r>
        <w:rPr>
          <w:b/>
          <w:color w:val="1F6B75"/>
          <w:sz w:val="26"/>
        </w:rPr>
        <w:t>MagicBox Code Modernization</w:t>
      </w:r>
    </w:p>
    <w:p>
      <w:r>
        <w:rPr>
          <w:b w:val="0"/>
          <w:color w:val="111827"/>
          <w:sz w:val="20"/>
        </w:rPr>
        <w:t>A comprehensive guide to modernizing MagicBox using the Strangler Fig Pattern.</w:t>
      </w:r>
    </w:p>
    <w:p>
      <w:r>
        <w:rPr>
          <w:b w:val="0"/>
          <w:color w:val="6B7280"/>
          <w:sz w:val="18"/>
        </w:rPr>
        <w:t>Run 20260512_184625_9890634b  ·  Generated 2026-05-12T18:47:00.713690+00:00  ·  Repo app</w:t>
      </w:r>
    </w:p>
    <w:p/>
    <w:p>
      <w:pPr>
        <w:pStyle w:val="Heading1"/>
      </w:pPr>
      <w:r>
        <w:t>Executive Snapshot</w:t>
      </w:r>
    </w:p>
    <w:p>
      <w:r>
        <w:rPr>
          <w:b w:val="0"/>
          <w:color w:val="6B7280"/>
          <w:sz w:val="18"/>
        </w:rPr>
        <w:t>An overview of the MagicBox modernization project, highlighting key objectives and strategies.</w:t>
      </w:r>
    </w:p>
    <w:p>
      <w:r>
        <w:rPr>
          <w:b/>
          <w:color w:val="2E75B6"/>
          <w:sz w:val="20"/>
        </w:rPr>
        <w:t xml:space="preserve">Objective: </w:t>
      </w:r>
      <w:r>
        <w:rPr>
          <w:b w:val="0"/>
          <w:color w:val="111827"/>
          <w:sz w:val="20"/>
        </w:rPr>
        <w:t>The objective is to ensure that language normalization is verified and that Stage 4 of the modernization process produces scaffolds.</w:t>
      </w:r>
    </w:p>
    <w:p>
      <w:r>
        <w:rPr>
          <w:b/>
          <w:color w:val="2E75B6"/>
          <w:sz w:val="20"/>
        </w:rPr>
        <w:t xml:space="preserve">Summary: </w:t>
      </w:r>
      <w:r>
        <w:rPr>
          <w:b w:val="0"/>
          <w:color w:val="111827"/>
          <w:sz w:val="20"/>
        </w:rPr>
        <w:t>Strangler Fig Pattern recommended.</w:t>
      </w:r>
    </w:p>
    <w:p>
      <w:r>
        <w:rPr>
          <w:b w:val="0"/>
          <w:color w:val="111827"/>
          <w:sz w:val="20"/>
        </w:rPr>
        <w:t>The MagicBox Code Modernization project aims to ensure language normalization and produce scaffolds in Stage 4. Utilizing the Strangler Fig Pattern, the strategy involves gradual replacement of legacy components to minimize disruption. The project is currently at a readiness score of 50 with a medium risk tier. The modernization process is structured into phases, starting with capturing golden flows and baselines, followed by incremental migration and dependency replacement, and concluding with hardening and release evidence.</w:t>
      </w:r>
    </w:p>
    <w:p>
      <w:pPr>
        <w:pStyle w:val="ListParagraph"/>
      </w:pPr>
      <w:r>
        <w:rPr>
          <w:b w:val="0"/>
          <w:color w:val="111827"/>
          <w:sz w:val="18"/>
        </w:rPr>
        <w:t>- Objective: Verify language normalization and produce scaffolds in Stage 4.</w:t>
      </w:r>
    </w:p>
    <w:p>
      <w:pPr>
        <w:pStyle w:val="ListParagraph"/>
      </w:pPr>
      <w:r>
        <w:rPr>
          <w:b w:val="0"/>
          <w:color w:val="111827"/>
          <w:sz w:val="18"/>
        </w:rPr>
        <w:t>- Strategy: Strangler Fig Pattern for minimal disruption.</w:t>
      </w:r>
    </w:p>
    <w:p>
      <w:pPr>
        <w:pStyle w:val="ListParagraph"/>
      </w:pPr>
      <w:r>
        <w:rPr>
          <w:b w:val="0"/>
          <w:color w:val="111827"/>
          <w:sz w:val="18"/>
        </w:rPr>
        <w:t>- Readiness score is currently at 50.</w:t>
      </w:r>
    </w:p>
    <w:p>
      <w:pPr>
        <w:pStyle w:val="ListParagraph"/>
      </w:pPr>
      <w:r>
        <w:rPr>
          <w:b w:val="0"/>
          <w:color w:val="111827"/>
          <w:sz w:val="18"/>
        </w:rPr>
        <w:t>- Risk tier is assessed as medium.</w:t>
      </w:r>
    </w:p>
    <w:p>
      <w:pPr>
        <w:pStyle w:val="ListParagraph"/>
      </w:pPr>
      <w:r>
        <w:rPr>
          <w:b w:val="0"/>
          <w:color w:val="111827"/>
          <w:sz w:val="18"/>
        </w:rPr>
        <w:t>- No projects, forms, or dependencies inventoried yet.</w:t>
      </w:r>
    </w:p>
    <w:p>
      <w:pPr>
        <w:pStyle w:val="ListParagraph"/>
      </w:pPr>
      <w:r>
        <w:rPr>
          <w:b w:val="0"/>
          <w:color w:val="111827"/>
          <w:sz w:val="18"/>
        </w:rPr>
        <w:t>- Phases include baseline capture, migration, and hardening.</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50/100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Score: </w:t>
      </w:r>
      <w:r>
        <w:rPr>
          <w:b w:val="0"/>
          <w:color w:val="111827"/>
          <w:sz w:val="18"/>
        </w:rPr>
        <w:t>Current readiness score is 50, indicating moderate preparation.</w:t>
      </w:r>
    </w:p>
    <w:p>
      <w:pPr>
        <w:pStyle w:val="Heading2"/>
      </w:pPr>
      <w:r>
        <w:t>Recommended Modernization Strategy</w:t>
      </w:r>
    </w:p>
    <w:p>
      <w:r>
        <w:rPr>
          <w:b/>
          <w:color w:val="1F6B75"/>
          <w:sz w:val="20"/>
        </w:rPr>
        <w:t xml:space="preserve">Strangler Fig Pattern: </w:t>
      </w:r>
      <w:r>
        <w:rPr>
          <w:b w:val="0"/>
          <w:color w:val="111827"/>
          <w:sz w:val="20"/>
        </w:rPr>
        <w:t>Allows gradual replacement of legacy components with minimal disruption.</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(3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Placement management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out dependencies to ensure smooth transition and integration during modernization.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dossiers on forms to be migrated, ensuring all elements are accounted for.</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Placement management</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Placement status must be updated sequentially from draft to active.</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Capturing and analyzing golden flows to establish baselines for modernization.</w:t>
      </w:r>
    </w:p>
    <w:p>
      <w:r>
        <w:br w:type="page"/>
      </w:r>
    </w:p>
    <w:p>
      <w:pPr>
        <w:pStyle w:val="Heading1"/>
      </w:pPr>
      <w:r>
        <w:t>Section Q - Form Traceability Matrix</w:t>
      </w:r>
    </w:p>
    <w:p>
      <w:r>
        <w:rPr>
          <w:b w:val="0"/>
          <w:color w:val="6B7280"/>
          <w:sz w:val="18"/>
        </w:rPr>
        <w:t>Ensuring all changes are traceable to maintain integrity and accountability.</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Organizing work into sprints to manage incremental progress and adjustments.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Identifying and mitigating risks associated with the modernization process.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misalignment between legacy and target language structures.</w:t>
            </w:r>
          </w:p>
        </w:tc>
        <w:tc>
          <w:tcPr>
            <w:tcW w:type="dxa" w:w="2520"/>
          </w:tcPr>
          <w:p>
            <w:r/>
            <w:r>
              <w:rPr>
                <w:b w:val="0"/>
                <w:color w:val="111827"/>
                <w:sz w:val="16"/>
              </w:rPr>
              <w:t>Conduct thorough mapping and validation of language constructs.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Scaffold generation may not cover all legacy components.</w:t>
            </w:r>
          </w:p>
        </w:tc>
        <w:tc>
          <w:tcPr>
            <w:tcW w:type="dxa" w:w="2520"/>
            <w:shd w:val="clear" w:color="auto" w:fill="F3F4F6"/>
          </w:tcPr>
          <w:p>
            <w:r/>
            <w:r>
              <w:rPr>
                <w:b w:val="0"/>
                <w:color w:val="111827"/>
                <w:sz w:val="16"/>
              </w:rPr>
              <w:t>Iteratively enhance scaffold generation capabilities.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artifact://legacy_inventory/1.0/art_legacy_inventory_3bc19e48bd33419a</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artifact://repo_landscape/1.0/art_repo_landscape_ba47e6d3293a4e78</w:t>
            </w:r>
          </w:p>
        </w:tc>
      </w:tr>
      <w:tr>
        <w:tc>
          <w:tcPr>
            <w:tcW w:type="dxa" w:w="5040"/>
          </w:tcPr>
          <w:p>
            <w:r/>
            <w:r>
              <w:rPr>
                <w:b w:val="0"/>
                <w:color w:val="111827"/>
                <w:sz w:val="16"/>
              </w:rPr>
              <w:t>scope_lock_ref</w:t>
            </w:r>
          </w:p>
        </w:tc>
        <w:tc>
          <w:tcPr>
            <w:tcW w:type="dxa" w:w="5040"/>
          </w:tcPr>
          <w:p>
            <w:r/>
            <w:r>
              <w:rPr>
                <w:b w:val="0"/>
                <w:color w:val="111827"/>
                <w:sz w:val="16"/>
              </w:rPr>
              <w:t>artifact://scope_lock/1.0/art_scope_lock_c1a1eec4d952467d</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artifact://variant_inventory/1.0/art_variant_inventory_93f5174b4499441c</w:t>
            </w:r>
          </w:p>
        </w:tc>
      </w:tr>
      <w:tr>
        <w:tc>
          <w:tcPr>
            <w:tcW w:type="dxa" w:w="5040"/>
          </w:tcPr>
          <w:p>
            <w:r/>
            <w:r>
              <w:rPr>
                <w:b w:val="0"/>
                <w:color w:val="111827"/>
                <w:sz w:val="16"/>
              </w:rPr>
              <w:t>event_map_ref</w:t>
            </w:r>
          </w:p>
        </w:tc>
        <w:tc>
          <w:tcPr>
            <w:tcW w:type="dxa" w:w="5040"/>
          </w:tcPr>
          <w:p>
            <w:r/>
            <w:r>
              <w:rPr>
                <w:b w:val="0"/>
                <w:color w:val="111827"/>
                <w:sz w:val="16"/>
              </w:rPr>
              <w:t>artifact://event_map/1.0/art_event_map_dc7b470a20ee484a</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artifact://sql_catalog/1.0/art_sql_catalog_a6026e58986d4212</w:t>
            </w:r>
          </w:p>
        </w:tc>
      </w:tr>
      <w:tr>
        <w:tc>
          <w:tcPr>
            <w:tcW w:type="dxa" w:w="5040"/>
          </w:tcPr>
          <w:p>
            <w:r/>
            <w:r>
              <w:rPr>
                <w:b w:val="0"/>
                <w:color w:val="111827"/>
                <w:sz w:val="16"/>
              </w:rPr>
              <w:t>sql_map_ref</w:t>
            </w:r>
          </w:p>
        </w:tc>
        <w:tc>
          <w:tcPr>
            <w:tcW w:type="dxa" w:w="5040"/>
          </w:tcPr>
          <w:p>
            <w:r/>
            <w:r>
              <w:rPr>
                <w:b w:val="0"/>
                <w:color w:val="111827"/>
                <w:sz w:val="16"/>
              </w:rPr>
              <w:t>artifact://sql_map/1.0/art_sql_map_9660026b682b43c2</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artifact://data_access_map/1.0/art_data_access_map_cdb0ed16cde24ac6</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artifact://recordset_ops/1.0/art_recordset_ops_f4afeea9d0384ea6</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artifact://procedure_summary/1.0/art_procedure_summary_69fd842f584247af</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artifact://form_dossier/1.0/art_form_dossier_36d9c6ecbe57431b</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artifact://dependency_inventory/1.0/art_dependency_inventory_9b1f266971454692</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artifact://dependency_inventory/1.0/art_dependency_inventory_9b1f266971454692</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artifact://business_rule_catalog/1.0/art_business_rule_catalog_96638ab3d65f4264</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artifact://detector_findings/1.0/art_detector_findings_43d0aa21242f4323</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artifact://risk_register/1.0/art_risk_register_c0bff0b67acd4ca4</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artifact://orphan_analysis/1.0/art_orphan_analysis_b319464c0baf48c5</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artifact://delivery_constitution/1.0/art_delivery_constitution_c428ff800c684563</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artifact://variant_diff_report/1.0/art_variant_diff_report_0bec14cb11ca4522</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artifact://reporting_model/1.0/art_reporting_model_e1d2254028da4edf</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artifact://identity_access_model/1.0/art_identity_access_model_b562f43c87494659</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artifact://discover_review_checklist/1.0/art_discover_review_checklist_191a65f97f714f16</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artifact://artifact_index/1.0/art_artifact_index_8a51313b8be24b80</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runctx://runctx-ab6e36654a503628/kctx-6c852fcceab50a55</w:t>
            </w:r>
          </w:p>
        </w:tc>
      </w:tr>
      <w:tr>
        <w:tc>
          <w:tcPr>
            <w:tcW w:type="dxa" w:w="5040"/>
          </w:tcPr>
          <w:p>
            <w:r/>
            <w:r>
              <w:rPr>
                <w:b w:val="0"/>
                <w:color w:val="111827"/>
                <w:sz w:val="16"/>
              </w:rPr>
              <w:t>run_delivery_constitution_ref</w:t>
            </w:r>
          </w:p>
        </w:tc>
        <w:tc>
          <w:tcPr>
            <w:tcW w:type="dxa" w:w="5040"/>
          </w:tcPr>
          <w:p>
            <w:r/>
            <w:r>
              <w:rPr>
                <w:b w:val="0"/>
                <w:color w:val="111827"/>
                <w:sz w:val="16"/>
              </w:rPr>
              <w:t>runctx://runctx-ab6e36654a503628/delivery_constitution/const-7ace40d7f2e9</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