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Documentation Update (P2)</w:t>
      </w:r>
    </w:p>
    <w:p>
      <w:pPr>
        <w:spacing w:after="80" w:before="80"/>
      </w:pPr>
      <w:r>
        <w:rPr>
          <w:sz w:val="22"/>
          <w:szCs w:val="22"/>
        </w:rPr>
        <w:t xml:space="preserve">Update documentation to reflect changes in the translated code.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code changes are documented.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manuals are updated with new functionalities.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reviewed and approved by the technical team.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 at 10× expected peak; measure p95/p99.; Performance degradation is less than 5% under load.; Scalability tests confirm system can handle increased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Passes SAST and DAST scans.; No SQL injection vulnerabilities present.; Secure coding practices are followed.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monitored and reported.; Downtime incidents are logged and analyzed.; Redundancy mechanisms are in place.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is collected and analyzed.; Usability tests are conducted with end-users.; Documentation is clear and comprehensive.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transactions are logged with trace IDs.; Monitoring dashboards provide real-time insights.; Alerts are configured for anomalies.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performance degradation in translated code.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performance testing and optimization.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introduced during translation.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 security testing and code reviews.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2026-05-13T16:08:27.883Z</dcterms:created>
  <dcterms:modified xsi:type="dcterms:W3CDTF">2026-05-13T16:08:27.883Z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