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MagicBox Contractor Management Modernization — VB6 Modernization BRD Executive Brief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Client · MagicBox Contractor Management Modernization — VB6 Modernization BRD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Generated: 2026-05-13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Readiness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Quality gates unavailable.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Routes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</w:t>
            </w:r>
          </w:p>
        </w:tc>
        <w:tc>
          <w:tcPr>
            <w:tcW w:type="dxa" w:w="3240"/>
            <w:tcBorders>
              <w:top w:val="single" w:color="888888" w:sz="1"/>
              <w:left w:val="single" w:color="888888" w:sz="1"/>
              <w:bottom w:val="single" w:color="888888" w:sz="1"/>
              <w:right w:val="single" w:color="888888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QA Status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FAIL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Scope Summary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Current vs Target State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Blocking Decisions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blocking decisions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Top Risks</w:t>
      </w:r>
    </w:p>
    <w:p>
      <w:pPr>
        <w:spacing w:after="60" w:before="3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No risks captured.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B7A8C"/>
          <w:sz w:val="24"/>
          <w:szCs w:val="24"/>
        </w:rPr>
        <w:t xml:space="preserve">Recommended Phasing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Close blocking decisions and scope-lock assumptions before Build.</w:t>
      </w:r>
    </w:p>
    <w:p>
      <w:pPr>
        <w:pStyle w:val="ListParagraph"/>
        <w:numPr>
          <w:ilvl w:val="0"/>
          <w:numId w:val="1"/>
        </w:numPr>
        <w:spacing w:after="20" w:before="20"/>
      </w:pPr>
      <w:r>
        <w:rPr>
          <w:rFonts w:ascii="Arial" w:cs="Arial" w:eastAsia="Arial" w:hAnsi="Arial"/>
          <w:color w:val="2D2D2D"/>
          <w:sz w:val="18"/>
          <w:szCs w:val="18"/>
        </w:rPr>
        <w:t xml:space="preserve">Use domain dossiers for sprint planning and module cards for implementation handoff.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Executive Brief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Executive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2026-05-13T16:29:31.236Z</dcterms:created>
  <dcterms:modified xsi:type="dcterms:W3CDTF">2026-05-13T16:29:31.236Z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