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800"/>
      </w:pPr>
      <w:r>
        <w:t xml:space="preserve"/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1F3864"/>
          <w:sz w:val="60"/>
          <w:szCs w:val="60"/>
        </w:rPr>
        <w:t xml:space="preserve">Kotlin JVM + Vue Full-Stack Modernization BRD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1B7A8C"/>
          <w:sz w:val="40"/>
          <w:szCs w:val="40"/>
        </w:rPr>
        <w:t xml:space="preserve">Business Analyst Brief</w:t>
      </w:r>
    </w:p>
    <w:p>
      <w:pPr>
        <w:pBdr>
          <w:bottom w:val="single" w:color="1B7A8C" w:sz="10" w:space="4"/>
        </w:pBdr>
        <w:spacing w:after="400" w:before="0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i/>
          <w:iCs/>
          <w:color w:val="4B5563"/>
          <w:sz w:val="22"/>
          <w:szCs w:val="22"/>
        </w:rPr>
        <w:t xml:space="preserve">Synthetix AI Analysis Platform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Generated: 2026-04-23   ·   Repo: Synthetix</w:t>
      </w:r>
    </w:p>
    <w:p>
      <w:pPr>
        <w:spacing w:after="0" w:before="160"/>
        <w:jc w:val="center"/>
      </w:pPr>
      <w:r>
        <w:rPr>
          <w:rFonts w:ascii="Arial" w:cs="Arial" w:eastAsia="Arial" w:hAnsi="Arial"/>
          <w:b/>
          <w:bCs/>
          <w:color w:val="B45309"/>
          <w:sz w:val="20"/>
          <w:szCs w:val="20"/>
        </w:rPr>
        <w:t xml:space="preserve">Confidential — BA Use Only</w:t>
      </w:r>
    </w:p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Executive Snapshot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10"/>
        <w:gridCol w:w="2610"/>
        <w:gridCol w:w="2610"/>
        <w:gridCol w:w="2610"/>
      </w:tblGrid>
      <w:tr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Projects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Active Forms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B4530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 Level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A73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Avg Coverage Score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7A8C"/>
                <w:sz w:val="28"/>
                <w:szCs w:val="28"/>
              </w:rPr>
              <w:t xml:space="preserve">1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7A8C"/>
                <w:sz w:val="28"/>
                <w:szCs w:val="28"/>
              </w:rPr>
              <w:t xml:space="preserve">2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340"/>
                <w:sz w:val="24"/>
                <w:szCs w:val="24"/>
              </w:rPr>
              <w:t xml:space="preserve">LOW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340"/>
                <w:sz w:val="24"/>
                <w:szCs w:val="24"/>
              </w:rPr>
              <w:t xml:space="preserve">0 / 100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Summary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8040"/>
      </w:tblGrid>
      <w:tr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Topic</w:t>
            </w:r>
          </w:p>
        </w:tc>
        <w:tc>
          <w:tcPr>
            <w:tcW w:type="dxa" w:w="80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Summary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Modernization Readiness</w:t>
            </w:r>
          </w:p>
        </w:tc>
        <w:tc>
          <w:tcPr>
            <w:tcW w:type="dxa" w:w="8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0/100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Risk Tier</w:t>
            </w:r>
          </w:p>
        </w:tc>
        <w:tc>
          <w:tcPr>
            <w:tcW w:type="dxa" w:w="8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LOW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Inventory</w:t>
            </w:r>
          </w:p>
        </w:tc>
        <w:tc>
          <w:tcPr>
            <w:tcW w:type="dxa" w:w="8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 project(s), 2 forms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Recommended Strategy</w:t>
            </w:r>
          </w:p>
        </w:tc>
        <w:tc>
          <w:tcPr>
            <w:tcW w:type="dxa" w:w="8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Phased UI migration recommended.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Decisions Required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The following decisions are needed before migration can proceed. Each is a current blocker for sprint planning.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800"/>
        <w:gridCol w:w="5540"/>
        <w:gridCol w:w="2100"/>
      </w:tblGrid>
      <w:tr>
        <w:tc>
          <w:tcPr>
            <w:tcW w:type="dxa" w:w="1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Topic</w:t>
            </w:r>
          </w:p>
        </w:tc>
        <w:tc>
          <w:tcPr>
            <w:tcW w:type="dxa" w:w="55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Decision Required</w:t>
            </w:r>
          </w:p>
        </w:tc>
        <w:tc>
          <w:tcPr>
            <w:tcW w:type="dxa" w:w="2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Impact if Deferred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Form Inventory — Business View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0 active forms across 1 project variants. Inputs show the data fields a user enters. Outputs describe the business effect when the form action completes.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100"/>
        <w:gridCol w:w="2400"/>
        <w:gridCol w:w="2300"/>
        <w:gridCol w:w="244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1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  <w:tc>
          <w:tcPr>
            <w:tcW w:type="dxa" w:w="23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Inputs (data fields)</w:t>
            </w:r>
          </w:p>
        </w:tc>
        <w:tc>
          <w:tcPr>
            <w:tcW w:type="dxa" w:w="24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Outputs (business effect)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Root (Sweet Bank — Kotlin / Android Modernization)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B5563"/>
                <w:sz w:val="18"/>
                <w:szCs w:val="18"/>
              </w:rPr>
              <w:t xml:space="preserve">kotlin_build_module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Root is the project / build configuration module. It contains Gradle build files only and has no runtime behaviour.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Inputs from upstream consumers within the Sweet Bank Android app.</w:t>
            </w:r>
          </w:p>
        </w:tc>
        <w:tc>
          <w:tcPr>
            <w:tcW w:type="dxa" w:w="2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Module outputs consumed by upstream UI / Repository modules.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Support Artifacts (Sweet Bank — Kotlin / Android Modernization)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B5563"/>
                <w:sz w:val="18"/>
                <w:szCs w:val="18"/>
              </w:rPr>
              <w:t xml:space="preserve">kotlin_android_module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Support Artifacts is a Kotlin / Android module within the Sweet Bank app.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Inputs from upstream consumers within the Sweet Bank Android app.</w:t>
            </w:r>
          </w:p>
        </w:tc>
        <w:tc>
          <w:tcPr>
            <w:tcW w:type="dxa" w:w="2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Module outputs consumed by upstream UI / Repository modules.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K1 — Excluded / Unresolved Forms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0 excluded or unresolved form files are listed here for completeness only. These items are not treated as first-class business scope in the BRD/BA package. They appear across 0 variant project entries where applicable.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100"/>
        <w:gridCol w:w="4740"/>
        <w:gridCol w:w="24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4B556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 Name</w:t>
            </w:r>
          </w:p>
        </w:tc>
        <w:tc>
          <w:tcPr>
            <w:tcW w:type="dxa" w:w="1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4B556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47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4B556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Found in Variants</w:t>
            </w:r>
          </w:p>
        </w:tc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4B556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Business Rules by Form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Rules are extracted from source code and translated into business language. Each rule is categorised by type and linked to any risk register entry where applicable.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4. Traceability Coverage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Each active form is scored across four dimensions: event map, SQL map, business rules, and risk register linkage. Score of 100 = fully covered. Score of 0 indicates no extracted traceability evidence for the current run; it should be reviewed as a coverage gap, not automatically interpreted as proof that the business flow does not exist.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10"/>
        <w:gridCol w:w="2610"/>
        <w:gridCol w:w="2610"/>
        <w:gridCol w:w="2610"/>
      </w:tblGrid>
      <w:tr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A73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Complete (100)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Near-complete (≥80)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B4530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Partial (40–79)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Discovery Gap (&lt;40)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340"/>
                <w:sz w:val="22"/>
                <w:szCs w:val="22"/>
              </w:rPr>
              <w:t xml:space="preserve">0 forms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7A8C"/>
                <w:sz w:val="22"/>
                <w:szCs w:val="22"/>
              </w:rPr>
              <w:t xml:space="preserve">0 forms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22"/>
                <w:szCs w:val="22"/>
              </w:rPr>
              <w:t xml:space="preserve">0 forms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B1C1C"/>
                <w:sz w:val="22"/>
                <w:szCs w:val="22"/>
              </w:rPr>
              <w:t xml:space="preserve">0 forms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360"/>
        <w:gridCol w:w="820"/>
        <w:gridCol w:w="820"/>
        <w:gridCol w:w="820"/>
        <w:gridCol w:w="820"/>
        <w:gridCol w:w="380"/>
      </w:tblGrid>
      <w:tr>
        <w:tc>
          <w:tcPr>
            <w:tcW w:type="dxa" w:w="2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33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Project</w:t>
            </w:r>
          </w:p>
        </w:tc>
        <w:tc>
          <w:tcPr>
            <w:tcW w:type="dxa" w:w="8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Events</w:t>
            </w:r>
          </w:p>
        </w:tc>
        <w:tc>
          <w:tcPr>
            <w:tcW w:type="dxa" w:w="8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</w:t>
            </w:r>
          </w:p>
        </w:tc>
        <w:tc>
          <w:tcPr>
            <w:tcW w:type="dxa" w:w="8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Rules</w:t>
            </w:r>
          </w:p>
        </w:tc>
        <w:tc>
          <w:tcPr>
            <w:tcW w:type="dxa" w:w="8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</w:t>
            </w:r>
          </w:p>
        </w:tc>
        <w:tc>
          <w:tcPr>
            <w:tcW w:type="dxa" w:w="3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5. Risk Register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All risks extracted by the analysis platform. High severity risks must be resolved before go-live.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000"/>
        <w:gridCol w:w="1800"/>
        <w:gridCol w:w="4640"/>
        <w:gridCol w:w="2100"/>
      </w:tblGrid>
      <w:tr>
        <w:tc>
          <w:tcPr>
            <w:tcW w:type="dxa" w:w="9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46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Recommended Action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Appendix A. Delivery Sequencing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Sprint sequencing is provided as a delivery appendix rather than core business scope. Sprint 0 = discovery closure required (0 forms). Sprint 1 = risk-first migration of core transactional forms. Sprint 2 = parity hardening. Shared Components must be built before any form that lists them can be migrated.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80"/>
        <w:gridCol w:w="3480"/>
        <w:gridCol w:w="3480"/>
      </w:tblGrid>
      <w:tr>
        <w:tc>
          <w:tcPr>
            <w:tcW w:type="dxa" w:w="34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 0 — Discovery</w:t>
            </w:r>
          </w:p>
        </w:tc>
        <w:tc>
          <w:tcPr>
            <w:tcW w:type="dxa" w:w="34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B4530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 1 — Risk-First</w:t>
            </w:r>
          </w:p>
        </w:tc>
        <w:tc>
          <w:tcPr>
            <w:tcW w:type="dxa" w:w="34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A73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 2 — Hardening</w:t>
            </w:r>
          </w:p>
        </w:tc>
      </w:tr>
      <w:t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B1C1C"/>
                <w:sz w:val="22"/>
                <w:szCs w:val="22"/>
              </w:rPr>
              <w:t xml:space="preserve">0 forms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22"/>
                <w:szCs w:val="22"/>
              </w:rPr>
              <w:t xml:space="preserve">0 forms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340"/>
                <w:sz w:val="22"/>
                <w:szCs w:val="22"/>
              </w:rPr>
              <w:t xml:space="preserve">0 forms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1800"/>
        <w:gridCol w:w="2400"/>
        <w:gridCol w:w="2440"/>
      </w:tblGrid>
      <w:tr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1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Depends On</w:t>
            </w:r>
          </w:p>
        </w:tc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Shared Components</w:t>
            </w:r>
          </w:p>
        </w:tc>
        <w:tc>
          <w:tcPr>
            <w:tcW w:type="dxa" w:w="24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Rationale</w:t>
            </w:r>
          </w:p>
        </w:tc>
      </w:tr>
    </w:tbl>
    <w:p>
      <w:r>
        <w:br w:type="page"/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4"/>
      </w:pBdr>
      <w:tabs>
        <w:tab w:val="right" w:pos="10440"/>
      </w:tabs>
      <w:spacing w:before="80"/>
    </w:pPr>
    <w:r>
      <w:rPr>
        <w:rFonts w:ascii="Arial" w:cs="Arial" w:eastAsia="Arial" w:hAnsi="Arial"/>
        <w:color w:val="4B5563"/>
        <w:sz w:val="16"/>
        <w:szCs w:val="16"/>
      </w:rPr>
      <w:t xml:space="preserve">Confidential — BA Use Only</w:t>
    </w:r>
    <w:r>
      <w:t xml:space="preserve">	</w:t>
    </w:r>
    <w:r>
      <w:rPr>
        <w:rFonts w:ascii="Arial" w:cs="Arial" w:eastAsia="Arial" w:hAnsi="Arial"/>
        <w:color w:val="4B5563"/>
        <w:sz w:val="16"/>
        <w:szCs w:val="16"/>
      </w:rPr>
      <w:t xml:space="preserve">Page </w:t>
    </w:r>
    <w:r>
      <w:rPr>
        <w:rFonts w:ascii="Arial" w:cs="Arial" w:eastAsia="Arial" w:hAnsi="Arial"/>
        <w:color w:val="4B5563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B5563"/>
        <w:sz w:val="16"/>
        <w:szCs w:val="16"/>
      </w:rPr>
      <w:t xml:space="preserve"> of </w:t>
    </w:r>
    <w:r>
      <w:rPr>
        <w:rFonts w:ascii="Arial" w:cs="Arial" w:eastAsia="Arial" w:hAnsi="Arial"/>
        <w:color w:val="4B5563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6" w:space="4"/>
      </w:pBdr>
      <w:tabs>
        <w:tab w:val="right" w:pos="10440"/>
      </w:tabs>
      <w:spacing w:after="8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Kotlin JVM + Vue Full-Stack Modernization BRD — Business Analyst Brief</w:t>
    </w:r>
    <w:r>
      <w:t xml:space="preserve">	</w:t>
    </w:r>
    <w:r>
      <w:rPr>
        <w:rFonts w:ascii="Arial" w:cs="Arial" w:eastAsia="Arial" w:hAnsi="Arial"/>
        <w:color w:val="1B7A8C"/>
        <w:sz w:val="16"/>
        <w:szCs w:val="16"/>
      </w:rPr>
      <w:t xml:space="preserve">Synthetix AI Platform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B7A8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2026-04-23T15:18:10.827Z</dcterms:created>
  <dcterms:modified xsi:type="dcterms:W3CDTF">2026-04-23T15:18:10.827Z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