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Modernization: Caching Optimization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Modernization: Caching Optimization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Identify Methods for Caching (P0)</w:t>
      </w:r>
    </w:p>
    <w:p>
      <w:pPr>
        <w:spacing w:after="80" w:before="80"/>
      </w:pPr>
      <w:r>
        <w:rPr>
          <w:sz w:val="22"/>
          <w:szCs w:val="22"/>
        </w:rPr>
        <w:t xml:space="preserve">Select 10 high-impact methods that will benefit from caching.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 list of 10 methods is documented and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Methods are selected based on performance profiling 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Stakeholder approval is obtained for the selected methods.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Improvement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confirm a 30% reduction in execution time.; Cache hit rates meet or exceed 80%.; NFR-001 criterion 3 is measurable and testable.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Cache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Cache reliability tests show less than 1% failure rate.; System stability is maintained during cache operations.; NFR-002 criterion 3 is measurable and testable.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 of Caching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Logs capture all cache read/write operations.; Logs include details necessary for debugging cache issues.; NFR-003 criterion 3 is measurable and testable.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Caching Solution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show no degradation with 2x expected peak load.; Cache performance metrics remain stable under increased load.; NFR-004 criterion 3 is measurable and testable.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calculation_logic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Calculate candidate eligibility based on predefined criteria.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performance degradation if caching is not implemented correctly.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testing and monitoring post-implementation.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Modernization: Caching Optimization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2026-05-13T18:06:43.785Z</dcterms:created>
  <dcterms:modified xsi:type="dcterms:W3CDTF">2026-05-13T18:06:43.785Z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