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handling staffing and business management.</w:t>
      </w:r>
    </w:p>
    <w:p>
      <w:r>
        <w:rPr>
          <w:b w:val="0"/>
          <w:i w:val="0"/>
          <w:color w:val="111111"/>
          <w:sz w:val="20"/>
        </w:rPr>
        <w:t>Verify screen_scaffold_profile match — stage 4 should produce scaffolds for the 6 macros.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handling staffing and business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2ca49f6ee446ba1e39c913b5b2cd1a24527803f9abd5cd9c7ccce48b04f86250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90fb4970bbd91f5bb5e7ffbe2470571bcb898cd191e4f09118493f794bb069d9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