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PHP Application Modernization Workbook</w:t>
            </w:r>
          </w:p>
        </w:tc>
      </w:tr>
    </w:tbl>
    <w:p>
      <w:r>
        <w:rPr>
          <w:b/>
          <w:color w:val="1F6B75"/>
          <w:sz w:val="26"/>
        </w:rPr>
        <w:t>PHP Application Modernization</w:t>
      </w:r>
    </w:p>
    <w:p>
      <w:r>
        <w:rPr>
          <w:b w:val="0"/>
          <w:color w:val="111827"/>
          <w:sz w:val="20"/>
        </w:rPr>
        <w:t>A comprehensive guide to modernizing a PHP application for enhanced scalability, reliability, and security.</w:t>
      </w:r>
    </w:p>
    <w:p>
      <w:r>
        <w:rPr>
          <w:b w:val="0"/>
          <w:color w:val="6B7280"/>
          <w:sz w:val="18"/>
        </w:rPr>
        <w:t>Run 20260429_155731_9a41ed72  ·  Generated 2026-04-30T11:29:36.084683+00:00  ·  Repo Synthetix</w:t>
      </w:r>
    </w:p>
    <w:p/>
    <w:p>
      <w:pPr>
        <w:pStyle w:val="Heading1"/>
      </w:pPr>
      <w:r>
        <w:t>Executive Snapshot</w:t>
      </w:r>
    </w:p>
    <w:p>
      <w:r>
        <w:rPr>
          <w:b w:val="0"/>
          <w:color w:val="6B7280"/>
          <w:sz w:val="18"/>
        </w:rPr>
        <w:t>An overview of the modernization strategy and current project status.</w:t>
      </w:r>
    </w:p>
    <w:p>
      <w:r>
        <w:rPr>
          <w:b/>
          <w:color w:val="2E75B6"/>
          <w:sz w:val="20"/>
        </w:rPr>
        <w:t xml:space="preserve">Objective: </w:t>
      </w:r>
      <w:r>
        <w:rPr>
          <w:b w:val="0"/>
          <w:color w:val="111827"/>
          <w:sz w:val="20"/>
        </w:rPr>
        <w:t>Modernize a PHP application focused on message brokering and document searching to improve scalability, reliability, and security.</w:t>
      </w:r>
    </w:p>
    <w:p>
      <w:r>
        <w:rPr>
          <w:b/>
          <w:color w:val="2E75B6"/>
          <w:sz w:val="20"/>
        </w:rPr>
        <w:t xml:space="preserve">Summary: </w:t>
      </w:r>
      <w:r>
        <w:rPr>
          <w:b w:val="0"/>
          <w:color w:val="111827"/>
          <w:sz w:val="20"/>
        </w:rPr>
        <w:t>Strangler Fig Pattern recommended.</w:t>
      </w:r>
    </w:p>
    <w:p>
      <w:r>
        <w:rPr>
          <w:b w:val="0"/>
          <w:color w:val="111827"/>
          <w:sz w:val="20"/>
        </w:rPr>
        <w:t>This workbook outlines the strategic approach for modernizing a PHP application using the Strangler Fig Pattern. The objective is to improve scalability, reliability, and security by focusing on message brokering and document searching. The modernization process is divided into phases, starting with capturing baseline outputs, followed by incremental migration and dependency replacement, and concluding with hardening and release evidence. The project is currently at a high-risk tier with a readiness score of zero, indicating the need for careful planning and execution.</w:t>
      </w:r>
    </w:p>
    <w:p>
      <w:pPr>
        <w:pStyle w:val="ListParagraph"/>
      </w:pPr>
      <w:r>
        <w:rPr>
          <w:b w:val="0"/>
          <w:color w:val="111827"/>
          <w:sz w:val="18"/>
        </w:rPr>
        <w:t>- Objective: Enhance scalability, reliability, and security.</w:t>
      </w:r>
    </w:p>
    <w:p>
      <w:pPr>
        <w:pStyle w:val="ListParagraph"/>
      </w:pPr>
      <w:r>
        <w:rPr>
          <w:b w:val="0"/>
          <w:color w:val="111827"/>
          <w:sz w:val="18"/>
        </w:rPr>
        <w:t>- Strategy: Strangler Fig Pattern for incremental modernization.</w:t>
      </w:r>
    </w:p>
    <w:p>
      <w:pPr>
        <w:pStyle w:val="ListParagraph"/>
      </w:pPr>
      <w:r>
        <w:rPr>
          <w:b w:val="0"/>
          <w:color w:val="111827"/>
          <w:sz w:val="18"/>
        </w:rPr>
        <w:t>- Phases: Baseline capture, migration, and hardening.</w:t>
      </w:r>
    </w:p>
    <w:p>
      <w:pPr>
        <w:pStyle w:val="ListParagraph"/>
      </w:pPr>
      <w:r>
        <w:rPr>
          <w:b w:val="0"/>
          <w:color w:val="111827"/>
          <w:sz w:val="18"/>
        </w:rPr>
        <w:t>- Current readiness score is zero; high-risk tier.</w:t>
      </w:r>
    </w:p>
    <w:p>
      <w:pPr>
        <w:pStyle w:val="ListParagraph"/>
      </w:pPr>
      <w:r>
        <w:rPr>
          <w:b w:val="0"/>
          <w:color w:val="111827"/>
          <w:sz w:val="18"/>
        </w:rPr>
        <w:t>- Focus on message brokering and document searching.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The project is classified as high-risk, requiring careful management.</w:t>
      </w:r>
    </w:p>
    <w:p>
      <w:pPr>
        <w:pStyle w:val="Heading2"/>
      </w:pPr>
      <w:r>
        <w:t>Recommended Modernization Strategy</w:t>
      </w:r>
    </w:p>
    <w:p>
      <w:r>
        <w:rPr>
          <w:b/>
          <w:color w:val="1F6B75"/>
          <w:sz w:val="20"/>
        </w:rPr>
        <w:t xml:space="preserve">Strangler Fig Pattern: </w:t>
      </w:r>
      <w:r>
        <w:rPr>
          <w:b w:val="0"/>
          <w:color w:val="111827"/>
          <w:sz w:val="20"/>
        </w:rPr>
        <w:t>Allows for incremental modernization without disrupting existing functionalities.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(5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2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DocumentSearch, MsgBroker</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manage dependencies critical to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documentation of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Capture and analyze golden flows for baseline outputs.</w:t>
      </w:r>
    </w:p>
    <w:p>
      <w:r>
        <w:br w:type="page"/>
      </w:r>
    </w:p>
    <w:p>
      <w:pPr>
        <w:pStyle w:val="Heading1"/>
      </w:pPr>
      <w:r>
        <w:t>Section Q - Form Traceability Matrix</w:t>
      </w:r>
    </w:p>
    <w:p>
      <w:r>
        <w:rPr>
          <w:b w:val="0"/>
          <w:color w:val="6B7280"/>
          <w:sz w:val="18"/>
        </w:rPr>
        <w:t>Ensure traceability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Plan and execute sprints aligned with modernization phases.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 and mitigate risks associated with the modernization effort.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 to ORM.</w:t>
            </w:r>
          </w:p>
        </w:tc>
        <w:tc>
          <w:tcPr>
            <w:tcW w:type="dxa" w:w="2520"/>
          </w:tcPr>
          <w:p>
            <w:r/>
            <w:r>
              <w:rPr>
                <w:b w:val="0"/>
                <w:color w:val="111827"/>
                <w:sz w:val="16"/>
              </w:rPr>
              <w:t>Implement thorough data migration testing and rollback plans.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with cloud services may introduce latency.</w:t>
            </w:r>
          </w:p>
        </w:tc>
        <w:tc>
          <w:tcPr>
            <w:tcW w:type="dxa" w:w="2520"/>
            <w:shd w:val="clear" w:color="auto" w:fill="F3F4F6"/>
          </w:tcPr>
          <w:p>
            <w:r/>
            <w:r>
              <w:rPr>
                <w:b w:val="0"/>
                <w:color w:val="111827"/>
                <w:sz w:val="16"/>
              </w:rPr>
              <w:t>Optimize network configurations and use caching strategies.</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Refactoring singleton patterns may introduce concurrency issues.</w:t>
            </w:r>
          </w:p>
        </w:tc>
        <w:tc>
          <w:tcPr>
            <w:tcW w:type="dxa" w:w="2520"/>
          </w:tcPr>
          <w:p>
            <w:r/>
            <w:r>
              <w:rPr>
                <w:b w:val="0"/>
                <w:color w:val="111827"/>
                <w:sz w:val="16"/>
              </w:rPr>
              <w:t>Conduct concurrency testing and implement thread-safe patterns.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artifact://legacy_inventory/1.0/art_legacy_inventory_cf53fd21cf3545c2</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artifact://repo_landscape/1.0/art_repo_landscape_e48176c9fb104f8e</w:t>
            </w:r>
          </w:p>
        </w:tc>
      </w:tr>
      <w:tr>
        <w:tc>
          <w:tcPr>
            <w:tcW w:type="dxa" w:w="5040"/>
          </w:tcPr>
          <w:p>
            <w:r/>
            <w:r>
              <w:rPr>
                <w:b w:val="0"/>
                <w:color w:val="111827"/>
                <w:sz w:val="16"/>
              </w:rPr>
              <w:t>scope_lock_ref</w:t>
            </w:r>
          </w:p>
        </w:tc>
        <w:tc>
          <w:tcPr>
            <w:tcW w:type="dxa" w:w="5040"/>
          </w:tcPr>
          <w:p>
            <w:r/>
            <w:r>
              <w:rPr>
                <w:b w:val="0"/>
                <w:color w:val="111827"/>
                <w:sz w:val="16"/>
              </w:rPr>
              <w:t>artifact://scope_lock/1.0/art_scope_lock_aee0eb235e3847dc</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artifact://variant_inventory/1.0/art_variant_inventory_dc63f8ab412d47bf</w:t>
            </w:r>
          </w:p>
        </w:tc>
      </w:tr>
      <w:tr>
        <w:tc>
          <w:tcPr>
            <w:tcW w:type="dxa" w:w="5040"/>
          </w:tcPr>
          <w:p>
            <w:r/>
            <w:r>
              <w:rPr>
                <w:b w:val="0"/>
                <w:color w:val="111827"/>
                <w:sz w:val="16"/>
              </w:rPr>
              <w:t>event_map_ref</w:t>
            </w:r>
          </w:p>
        </w:tc>
        <w:tc>
          <w:tcPr>
            <w:tcW w:type="dxa" w:w="5040"/>
          </w:tcPr>
          <w:p>
            <w:r/>
            <w:r>
              <w:rPr>
                <w:b w:val="0"/>
                <w:color w:val="111827"/>
                <w:sz w:val="16"/>
              </w:rPr>
              <w:t>artifact://event_map/1.0/art_event_map_41db775a906a4d1e</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artifact://sql_catalog/1.0/art_sql_catalog_695dc54e573f48f9</w:t>
            </w:r>
          </w:p>
        </w:tc>
      </w:tr>
      <w:tr>
        <w:tc>
          <w:tcPr>
            <w:tcW w:type="dxa" w:w="5040"/>
          </w:tcPr>
          <w:p>
            <w:r/>
            <w:r>
              <w:rPr>
                <w:b w:val="0"/>
                <w:color w:val="111827"/>
                <w:sz w:val="16"/>
              </w:rPr>
              <w:t>sql_map_ref</w:t>
            </w:r>
          </w:p>
        </w:tc>
        <w:tc>
          <w:tcPr>
            <w:tcW w:type="dxa" w:w="5040"/>
          </w:tcPr>
          <w:p>
            <w:r/>
            <w:r>
              <w:rPr>
                <w:b w:val="0"/>
                <w:color w:val="111827"/>
                <w:sz w:val="16"/>
              </w:rPr>
              <w:t>artifact://sql_map/1.0/art_sql_map_a048c2d54e7c4da3</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artifact://data_access_map/1.0/art_data_access_map_1cbc9712cb7c49f9</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artifact://recordset_ops/1.0/art_recordset_ops_194f70ffa9124fc2</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artifact://procedure_summary/1.0/art_procedure_summary_929f19c216344fbf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artifact://form_dossier/1.0/art_form_dossier_73b99cfc45474f4b</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artifact://dependency_inventory/1.0/art_dependency_inventory_54bbc09c557041da</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artifact://dependency_inventory/1.0/art_dependency_inventory_54bbc09c557041da</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artifact://business_rule_catalog/1.0/art_business_rule_catalog_8af86c9948684a87</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artifact://detector_findings/1.0/art_detector_findings_ce8459c150fb4d77</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artifact://risk_register/1.0/art_risk_register_79c1a6ac91fc4d67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artifact://orphan_analysis/1.0/art_orphan_analysis_e0222fe7a8be4215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artifact://delivery_constitution/1.0/art_delivery_constitution_d61b7670453845b4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artifact://variant_diff_report/1.0/art_variant_diff_report_a596d66c21404d47</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artifact://reporting_model/1.0/art_reporting_model_8e84dade9f2c4fda</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artifact://identity_access_model/1.0/art_identity_access_model_2a6e81348d464138</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artifact://discover_review_checklist/1.0/art_discover_review_checklist_44f0131e74174a06</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artifact://artifact_index/1.0/art_artifact_index_9a5497d4ee0c4804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runctx://runctx-afe1b424804bf1ab/kctx-dadd5810e15757ce</w:t>
            </w:r>
          </w:p>
        </w:tc>
      </w:tr>
      <w:tr>
        <w:tc>
          <w:tcPr>
            <w:tcW w:type="dxa" w:w="5040"/>
          </w:tcPr>
          <w:p>
            <w:r/>
            <w:r>
              <w:rPr>
                <w:b w:val="0"/>
                <w:color w:val="111827"/>
                <w:sz w:val="16"/>
              </w:rPr>
              <w:t>run_delivery_constitution_ref</w:t>
            </w:r>
          </w:p>
        </w:tc>
        <w:tc>
          <w:tcPr>
            <w:tcW w:type="dxa" w:w="5040"/>
          </w:tcPr>
          <w:p>
            <w:r/>
            <w:r>
              <w:rPr>
                <w:b w:val="0"/>
                <w:color w:val="111827"/>
                <w:sz w:val="16"/>
              </w:rPr>
              <w:t>runctx://runctx-afe1b424804bf1ab/delivery_constitution/const-42f09a4f8f7a</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